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B7AF8">
      <w:pPr>
        <w:jc w:val="center"/>
        <w:rPr>
          <w:rFonts w:hint="eastAsia" w:hAnsi="黑体" w:eastAsia="黑体"/>
          <w:sz w:val="52"/>
          <w:szCs w:val="52"/>
        </w:rPr>
      </w:pPr>
    </w:p>
    <w:p w14:paraId="6C18E183">
      <w:pPr>
        <w:jc w:val="center"/>
        <w:rPr>
          <w:rFonts w:hint="eastAsia" w:hAnsi="黑体" w:eastAsia="黑体"/>
          <w:sz w:val="52"/>
          <w:szCs w:val="52"/>
        </w:rPr>
      </w:pPr>
    </w:p>
    <w:p w14:paraId="0CD53965">
      <w:pPr>
        <w:jc w:val="center"/>
        <w:rPr>
          <w:rFonts w:hint="eastAsia" w:hAnsi="黑体" w:eastAsia="黑体"/>
          <w:sz w:val="52"/>
          <w:szCs w:val="52"/>
        </w:rPr>
      </w:pPr>
    </w:p>
    <w:p w14:paraId="23203017">
      <w:pPr>
        <w:jc w:val="center"/>
        <w:rPr>
          <w:rFonts w:eastAsia="黑体"/>
          <w:sz w:val="52"/>
          <w:szCs w:val="52"/>
        </w:rPr>
      </w:pPr>
      <w:r>
        <w:rPr>
          <w:rFonts w:hAnsi="黑体" w:eastAsia="黑体"/>
          <w:sz w:val="52"/>
          <w:szCs w:val="52"/>
        </w:rPr>
        <w:t>《</w:t>
      </w:r>
      <w:r>
        <w:rPr>
          <w:rFonts w:hint="eastAsia" w:hAnsi="黑体" w:eastAsia="黑体"/>
          <w:sz w:val="52"/>
          <w:szCs w:val="52"/>
        </w:rPr>
        <w:t>固定污染源废气 总烃、甲烷和非甲烷总烃便携式仪器现场测试技术指南</w:t>
      </w:r>
      <w:r>
        <w:rPr>
          <w:rFonts w:hAnsi="黑体" w:eastAsia="黑体"/>
          <w:sz w:val="52"/>
          <w:szCs w:val="52"/>
        </w:rPr>
        <w:t>》编制说明</w:t>
      </w:r>
    </w:p>
    <w:p w14:paraId="74E83F58">
      <w:pPr>
        <w:jc w:val="center"/>
        <w:rPr>
          <w:rFonts w:hint="eastAsia" w:hAnsi="黑体" w:eastAsia="黑体"/>
          <w:sz w:val="28"/>
          <w:szCs w:val="28"/>
        </w:rPr>
      </w:pPr>
    </w:p>
    <w:p w14:paraId="16AB746E">
      <w:pPr>
        <w:jc w:val="center"/>
        <w:rPr>
          <w:rFonts w:eastAsia="黑体"/>
          <w:sz w:val="28"/>
          <w:szCs w:val="28"/>
        </w:rPr>
      </w:pPr>
      <w:r>
        <w:rPr>
          <w:rFonts w:hAnsi="黑体" w:eastAsia="黑体"/>
          <w:sz w:val="28"/>
          <w:szCs w:val="28"/>
        </w:rPr>
        <w:t>（</w:t>
      </w:r>
      <w:r>
        <w:rPr>
          <w:rFonts w:hint="eastAsia" w:hAnsi="黑体" w:eastAsia="黑体"/>
          <w:sz w:val="28"/>
          <w:szCs w:val="28"/>
          <w:lang w:val="en-US" w:eastAsia="zh-CN"/>
        </w:rPr>
        <w:t>征求意见</w:t>
      </w:r>
      <w:r>
        <w:rPr>
          <w:rFonts w:hint="eastAsia" w:hAnsi="黑体" w:eastAsia="黑体"/>
          <w:sz w:val="28"/>
          <w:szCs w:val="28"/>
        </w:rPr>
        <w:t>稿</w:t>
      </w:r>
      <w:r>
        <w:rPr>
          <w:rFonts w:hAnsi="黑体" w:eastAsia="黑体"/>
          <w:sz w:val="28"/>
          <w:szCs w:val="28"/>
        </w:rPr>
        <w:t>）</w:t>
      </w:r>
    </w:p>
    <w:p w14:paraId="0C647CC3">
      <w:pPr>
        <w:jc w:val="center"/>
        <w:rPr>
          <w:rFonts w:eastAsia="黑体"/>
          <w:sz w:val="28"/>
          <w:szCs w:val="28"/>
        </w:rPr>
      </w:pPr>
    </w:p>
    <w:p w14:paraId="7D4F00E7">
      <w:pPr>
        <w:jc w:val="center"/>
        <w:rPr>
          <w:sz w:val="36"/>
          <w:szCs w:val="36"/>
        </w:rPr>
      </w:pPr>
    </w:p>
    <w:p w14:paraId="020A0E70">
      <w:pPr>
        <w:jc w:val="center"/>
        <w:rPr>
          <w:rFonts w:eastAsia="黑体"/>
          <w:sz w:val="52"/>
          <w:szCs w:val="52"/>
        </w:rPr>
      </w:pPr>
    </w:p>
    <w:p w14:paraId="1B47CD58">
      <w:pPr>
        <w:jc w:val="center"/>
        <w:rPr>
          <w:sz w:val="36"/>
          <w:szCs w:val="36"/>
        </w:rPr>
      </w:pPr>
    </w:p>
    <w:p w14:paraId="643A8FDF"/>
    <w:p w14:paraId="624B1CBB"/>
    <w:p w14:paraId="7F04763A"/>
    <w:p w14:paraId="1E2064BA"/>
    <w:p w14:paraId="1C3CBD3D">
      <w:pPr>
        <w:rPr>
          <w:sz w:val="28"/>
          <w:szCs w:val="28"/>
        </w:rPr>
      </w:pPr>
    </w:p>
    <w:p w14:paraId="67BDE85F">
      <w:pPr>
        <w:jc w:val="center"/>
        <w:rPr>
          <w:sz w:val="28"/>
          <w:szCs w:val="28"/>
        </w:rPr>
      </w:pPr>
    </w:p>
    <w:p w14:paraId="2838DD16">
      <w:pPr>
        <w:jc w:val="center"/>
        <w:rPr>
          <w:sz w:val="28"/>
          <w:szCs w:val="28"/>
        </w:rPr>
      </w:pPr>
    </w:p>
    <w:p w14:paraId="4987D86A">
      <w:pPr>
        <w:jc w:val="center"/>
        <w:rPr>
          <w:sz w:val="28"/>
          <w:szCs w:val="28"/>
        </w:rPr>
      </w:pPr>
    </w:p>
    <w:p w14:paraId="6EEF50CD">
      <w:pPr>
        <w:jc w:val="center"/>
        <w:rPr>
          <w:rFonts w:hint="eastAsia" w:hAnsi="黑体" w:eastAsia="黑体"/>
          <w:sz w:val="28"/>
          <w:szCs w:val="28"/>
        </w:rPr>
      </w:pPr>
      <w:r>
        <w:rPr>
          <w:rFonts w:hAnsi="黑体" w:eastAsia="黑体"/>
          <w:sz w:val="28"/>
          <w:szCs w:val="28"/>
        </w:rPr>
        <w:t>标准编制组</w:t>
      </w:r>
    </w:p>
    <w:p w14:paraId="7AFB1BB6">
      <w:pPr>
        <w:jc w:val="center"/>
        <w:rPr>
          <w:rFonts w:eastAsia="黑体"/>
          <w:sz w:val="28"/>
          <w:szCs w:val="28"/>
        </w:rPr>
      </w:pPr>
      <w:r>
        <w:rPr>
          <w:rFonts w:hint="eastAsia" w:eastAsia="黑体"/>
          <w:sz w:val="28"/>
          <w:szCs w:val="28"/>
        </w:rPr>
        <w:t>202</w:t>
      </w:r>
      <w:r>
        <w:rPr>
          <w:rFonts w:hint="eastAsia" w:eastAsia="黑体"/>
          <w:sz w:val="28"/>
          <w:szCs w:val="28"/>
          <w:lang w:val="en-US" w:eastAsia="zh-CN"/>
        </w:rPr>
        <w:t>5</w:t>
      </w:r>
      <w:r>
        <w:rPr>
          <w:rFonts w:hAnsi="黑体" w:eastAsia="黑体"/>
          <w:sz w:val="28"/>
          <w:szCs w:val="28"/>
        </w:rPr>
        <w:t>年</w:t>
      </w:r>
      <w:r>
        <w:rPr>
          <w:rFonts w:hint="eastAsia" w:hAnsi="黑体" w:eastAsia="黑体"/>
          <w:sz w:val="28"/>
          <w:szCs w:val="28"/>
          <w:lang w:val="en-US" w:eastAsia="zh-CN"/>
        </w:rPr>
        <w:t>3</w:t>
      </w:r>
      <w:r>
        <w:rPr>
          <w:rFonts w:hAnsi="黑体" w:eastAsia="黑体"/>
          <w:sz w:val="28"/>
          <w:szCs w:val="28"/>
        </w:rPr>
        <w:t>月</w:t>
      </w:r>
    </w:p>
    <w:p w14:paraId="6516D4A4">
      <w:pPr>
        <w:widowControl/>
        <w:jc w:val="center"/>
        <w:rPr>
          <w:sz w:val="28"/>
          <w:szCs w:val="28"/>
        </w:rPr>
      </w:pPr>
      <w:r>
        <w:rPr>
          <w:sz w:val="28"/>
          <w:szCs w:val="28"/>
        </w:rPr>
        <w:br w:type="page"/>
      </w:r>
    </w:p>
    <w:p w14:paraId="7331A8C2">
      <w:pPr>
        <w:widowControl/>
        <w:jc w:val="center"/>
        <w:rPr>
          <w:sz w:val="28"/>
          <w:szCs w:val="28"/>
        </w:rPr>
      </w:pPr>
    </w:p>
    <w:p w14:paraId="317BB4FE">
      <w:pPr>
        <w:widowControl/>
        <w:jc w:val="center"/>
        <w:rPr>
          <w:rFonts w:eastAsia="黑体"/>
          <w:sz w:val="28"/>
          <w:szCs w:val="28"/>
        </w:rPr>
      </w:pPr>
      <w:r>
        <w:rPr>
          <w:rFonts w:hAnsi="黑体" w:eastAsia="黑体"/>
          <w:sz w:val="28"/>
          <w:szCs w:val="28"/>
        </w:rPr>
        <w:t>目</w:t>
      </w:r>
      <w:r>
        <w:rPr>
          <w:rFonts w:eastAsia="黑体"/>
          <w:sz w:val="28"/>
          <w:szCs w:val="28"/>
        </w:rPr>
        <w:t xml:space="preserve">     </w:t>
      </w:r>
      <w:r>
        <w:rPr>
          <w:rFonts w:hAnsi="黑体" w:eastAsia="黑体"/>
          <w:sz w:val="28"/>
          <w:szCs w:val="28"/>
        </w:rPr>
        <w:t>录</w:t>
      </w:r>
    </w:p>
    <w:p w14:paraId="13322BF2">
      <w:pPr>
        <w:widowControl/>
        <w:jc w:val="left"/>
        <w:rPr>
          <w:sz w:val="28"/>
          <w:szCs w:val="28"/>
        </w:rPr>
      </w:pPr>
    </w:p>
    <w:p w14:paraId="4A01C080">
      <w:pPr>
        <w:pStyle w:val="9"/>
        <w:rPr>
          <w:rFonts w:asciiTheme="minorHAnsi" w:hAnsiTheme="minorHAnsi" w:eastAsiaTheme="minorEastAsia" w:cstheme="minorBidi"/>
        </w:rPr>
      </w:pPr>
      <w:r>
        <w:rPr>
          <w:sz w:val="28"/>
          <w:szCs w:val="28"/>
        </w:rPr>
        <w:fldChar w:fldCharType="begin"/>
      </w:r>
      <w:r>
        <w:rPr>
          <w:sz w:val="28"/>
          <w:szCs w:val="28"/>
        </w:rPr>
        <w:instrText xml:space="preserve">TOC \o "1-1" \h \u </w:instrText>
      </w:r>
      <w:r>
        <w:rPr>
          <w:sz w:val="28"/>
          <w:szCs w:val="28"/>
        </w:rPr>
        <w:fldChar w:fldCharType="separate"/>
      </w:r>
      <w:r>
        <w:fldChar w:fldCharType="begin"/>
      </w:r>
      <w:r>
        <w:instrText xml:space="preserve"> HYPERLINK \l "_Toc164795155" </w:instrText>
      </w:r>
      <w:r>
        <w:fldChar w:fldCharType="separate"/>
      </w:r>
      <w:r>
        <w:rPr>
          <w:rStyle w:val="18"/>
          <w:rFonts w:eastAsia="黑体"/>
          <w:color w:val="auto"/>
        </w:rPr>
        <w:t xml:space="preserve">1 </w:t>
      </w:r>
      <w:r>
        <w:rPr>
          <w:rStyle w:val="18"/>
          <w:rFonts w:hint="eastAsia" w:hAnsi="黑体" w:eastAsia="黑体"/>
          <w:color w:val="auto"/>
        </w:rPr>
        <w:t>标准基本情况</w:t>
      </w:r>
      <w:r>
        <w:tab/>
      </w:r>
      <w:r>
        <w:fldChar w:fldCharType="begin"/>
      </w:r>
      <w:r>
        <w:instrText xml:space="preserve"> PAGEREF _Toc164795155 \h </w:instrText>
      </w:r>
      <w:r>
        <w:fldChar w:fldCharType="separate"/>
      </w:r>
      <w:r>
        <w:t>1</w:t>
      </w:r>
      <w:r>
        <w:fldChar w:fldCharType="end"/>
      </w:r>
      <w:r>
        <w:fldChar w:fldCharType="end"/>
      </w:r>
    </w:p>
    <w:p w14:paraId="2E58C6CA">
      <w:pPr>
        <w:pStyle w:val="9"/>
        <w:rPr>
          <w:rFonts w:asciiTheme="minorHAnsi" w:hAnsiTheme="minorHAnsi" w:eastAsiaTheme="minorEastAsia" w:cstheme="minorBidi"/>
        </w:rPr>
      </w:pPr>
      <w:r>
        <w:fldChar w:fldCharType="begin"/>
      </w:r>
      <w:r>
        <w:instrText xml:space="preserve"> HYPERLINK \l "_Toc164795156" </w:instrText>
      </w:r>
      <w:r>
        <w:fldChar w:fldCharType="separate"/>
      </w:r>
      <w:r>
        <w:rPr>
          <w:rStyle w:val="18"/>
          <w:rFonts w:eastAsia="黑体"/>
          <w:color w:val="auto"/>
        </w:rPr>
        <w:t xml:space="preserve">2 </w:t>
      </w:r>
      <w:r>
        <w:rPr>
          <w:rStyle w:val="18"/>
          <w:rFonts w:hint="eastAsia" w:eastAsia="黑体"/>
          <w:color w:val="auto"/>
        </w:rPr>
        <w:t>标准编制的必要性和意义</w:t>
      </w:r>
      <w:r>
        <w:tab/>
      </w:r>
      <w:r>
        <w:fldChar w:fldCharType="begin"/>
      </w:r>
      <w:r>
        <w:instrText xml:space="preserve"> PAGEREF _Toc164795156 \h </w:instrText>
      </w:r>
      <w:r>
        <w:fldChar w:fldCharType="separate"/>
      </w:r>
      <w:r>
        <w:t>4</w:t>
      </w:r>
      <w:r>
        <w:fldChar w:fldCharType="end"/>
      </w:r>
      <w:r>
        <w:fldChar w:fldCharType="end"/>
      </w:r>
    </w:p>
    <w:p w14:paraId="33CF6F36">
      <w:pPr>
        <w:pStyle w:val="9"/>
        <w:rPr>
          <w:rFonts w:asciiTheme="minorHAnsi" w:hAnsiTheme="minorHAnsi" w:eastAsiaTheme="minorEastAsia" w:cstheme="minorBidi"/>
        </w:rPr>
      </w:pPr>
      <w:r>
        <w:fldChar w:fldCharType="begin"/>
      </w:r>
      <w:r>
        <w:instrText xml:space="preserve"> HYPERLINK \l "_Toc164795157" </w:instrText>
      </w:r>
      <w:r>
        <w:fldChar w:fldCharType="separate"/>
      </w:r>
      <w:r>
        <w:rPr>
          <w:rStyle w:val="18"/>
          <w:rFonts w:eastAsia="黑体"/>
          <w:color w:val="auto"/>
        </w:rPr>
        <w:t xml:space="preserve">3 </w:t>
      </w:r>
      <w:r>
        <w:rPr>
          <w:rStyle w:val="18"/>
          <w:rFonts w:hint="eastAsia" w:eastAsia="黑体"/>
          <w:color w:val="auto"/>
        </w:rPr>
        <w:t>制定标准的原则和依据，与现行法律、法规、标准的关系</w:t>
      </w:r>
      <w:r>
        <w:tab/>
      </w:r>
      <w:r>
        <w:fldChar w:fldCharType="begin"/>
      </w:r>
      <w:r>
        <w:instrText xml:space="preserve"> PAGEREF _Toc164795157 \h </w:instrText>
      </w:r>
      <w:r>
        <w:fldChar w:fldCharType="separate"/>
      </w:r>
      <w:r>
        <w:t>9</w:t>
      </w:r>
      <w:r>
        <w:fldChar w:fldCharType="end"/>
      </w:r>
      <w:r>
        <w:fldChar w:fldCharType="end"/>
      </w:r>
    </w:p>
    <w:p w14:paraId="07E0DB42">
      <w:pPr>
        <w:pStyle w:val="9"/>
        <w:rPr>
          <w:rFonts w:asciiTheme="minorHAnsi" w:hAnsiTheme="minorHAnsi" w:eastAsiaTheme="minorEastAsia" w:cstheme="minorBidi"/>
        </w:rPr>
      </w:pPr>
      <w:r>
        <w:fldChar w:fldCharType="begin"/>
      </w:r>
      <w:r>
        <w:instrText xml:space="preserve"> HYPERLINK \l "_Toc164795158" </w:instrText>
      </w:r>
      <w:r>
        <w:fldChar w:fldCharType="separate"/>
      </w:r>
      <w:r>
        <w:rPr>
          <w:rStyle w:val="18"/>
          <w:rFonts w:eastAsia="黑体"/>
          <w:color w:val="auto"/>
        </w:rPr>
        <w:t xml:space="preserve">4 </w:t>
      </w:r>
      <w:r>
        <w:rPr>
          <w:rStyle w:val="18"/>
          <w:rFonts w:hint="eastAsia" w:eastAsia="黑体"/>
          <w:color w:val="auto"/>
        </w:rPr>
        <w:t>主要内容说明</w:t>
      </w:r>
      <w:r>
        <w:tab/>
      </w:r>
      <w:r>
        <w:fldChar w:fldCharType="begin"/>
      </w:r>
      <w:r>
        <w:instrText xml:space="preserve"> PAGEREF _Toc164795158 \h </w:instrText>
      </w:r>
      <w:r>
        <w:fldChar w:fldCharType="separate"/>
      </w:r>
      <w:r>
        <w:t>14</w:t>
      </w:r>
      <w:r>
        <w:fldChar w:fldCharType="end"/>
      </w:r>
      <w:r>
        <w:fldChar w:fldCharType="end"/>
      </w:r>
    </w:p>
    <w:p w14:paraId="680CE367">
      <w:pPr>
        <w:pStyle w:val="9"/>
        <w:rPr>
          <w:rFonts w:asciiTheme="minorHAnsi" w:hAnsiTheme="minorHAnsi" w:eastAsiaTheme="minorEastAsia" w:cstheme="minorBidi"/>
        </w:rPr>
      </w:pPr>
      <w:r>
        <w:fldChar w:fldCharType="begin"/>
      </w:r>
      <w:r>
        <w:instrText xml:space="preserve"> HYPERLINK \l "_Toc164795159" </w:instrText>
      </w:r>
      <w:r>
        <w:fldChar w:fldCharType="separate"/>
      </w:r>
      <w:r>
        <w:rPr>
          <w:rStyle w:val="18"/>
          <w:rFonts w:eastAsia="黑体"/>
          <w:color w:val="auto"/>
        </w:rPr>
        <w:t xml:space="preserve">5 </w:t>
      </w:r>
      <w:r>
        <w:rPr>
          <w:rStyle w:val="18"/>
          <w:rFonts w:hint="eastAsia" w:eastAsia="黑体"/>
          <w:color w:val="auto"/>
        </w:rPr>
        <w:t>重大意见分歧的处理依据和结果</w:t>
      </w:r>
      <w:r>
        <w:tab/>
      </w:r>
      <w:r>
        <w:fldChar w:fldCharType="begin"/>
      </w:r>
      <w:r>
        <w:instrText xml:space="preserve"> PAGEREF _Toc164795159 \h </w:instrText>
      </w:r>
      <w:r>
        <w:fldChar w:fldCharType="separate"/>
      </w:r>
      <w:r>
        <w:t>14</w:t>
      </w:r>
      <w:r>
        <w:fldChar w:fldCharType="end"/>
      </w:r>
      <w:r>
        <w:fldChar w:fldCharType="end"/>
      </w:r>
    </w:p>
    <w:p w14:paraId="50C2E481">
      <w:pPr>
        <w:pStyle w:val="9"/>
        <w:rPr>
          <w:rFonts w:asciiTheme="minorHAnsi" w:hAnsiTheme="minorHAnsi" w:eastAsiaTheme="minorEastAsia" w:cstheme="minorBidi"/>
        </w:rPr>
      </w:pPr>
      <w:r>
        <w:fldChar w:fldCharType="begin"/>
      </w:r>
      <w:r>
        <w:instrText xml:space="preserve"> HYPERLINK \l "_Toc164795160" </w:instrText>
      </w:r>
      <w:r>
        <w:fldChar w:fldCharType="separate"/>
      </w:r>
      <w:r>
        <w:rPr>
          <w:rStyle w:val="18"/>
          <w:rFonts w:eastAsia="黑体"/>
          <w:color w:val="auto"/>
        </w:rPr>
        <w:t xml:space="preserve">6 </w:t>
      </w:r>
      <w:r>
        <w:rPr>
          <w:rStyle w:val="18"/>
          <w:rFonts w:hint="eastAsia" w:eastAsia="黑体"/>
          <w:color w:val="auto"/>
        </w:rPr>
        <w:t>国际或国外标准的引用</w:t>
      </w:r>
      <w:r>
        <w:tab/>
      </w:r>
      <w:r>
        <w:fldChar w:fldCharType="begin"/>
      </w:r>
      <w:r>
        <w:instrText xml:space="preserve"> PAGEREF _Toc164795160 \h </w:instrText>
      </w:r>
      <w:r>
        <w:fldChar w:fldCharType="separate"/>
      </w:r>
      <w:r>
        <w:t>15</w:t>
      </w:r>
      <w:r>
        <w:fldChar w:fldCharType="end"/>
      </w:r>
      <w:r>
        <w:fldChar w:fldCharType="end"/>
      </w:r>
    </w:p>
    <w:p w14:paraId="74971067">
      <w:pPr>
        <w:pStyle w:val="9"/>
        <w:rPr>
          <w:rFonts w:asciiTheme="minorHAnsi" w:hAnsiTheme="minorHAnsi" w:eastAsiaTheme="minorEastAsia" w:cstheme="minorBidi"/>
        </w:rPr>
      </w:pPr>
      <w:r>
        <w:fldChar w:fldCharType="begin"/>
      </w:r>
      <w:r>
        <w:instrText xml:space="preserve"> HYPERLINK \l "_Toc164795161" </w:instrText>
      </w:r>
      <w:r>
        <w:fldChar w:fldCharType="separate"/>
      </w:r>
      <w:r>
        <w:rPr>
          <w:rStyle w:val="18"/>
          <w:rFonts w:eastAsia="黑体"/>
          <w:color w:val="auto"/>
        </w:rPr>
        <w:t xml:space="preserve">7 </w:t>
      </w:r>
      <w:r>
        <w:rPr>
          <w:rStyle w:val="18"/>
          <w:rFonts w:hint="eastAsia" w:eastAsia="黑体"/>
          <w:color w:val="auto"/>
        </w:rPr>
        <w:t>作为强制性标准的建议及理由</w:t>
      </w:r>
      <w:r>
        <w:tab/>
      </w:r>
      <w:r>
        <w:fldChar w:fldCharType="begin"/>
      </w:r>
      <w:r>
        <w:instrText xml:space="preserve"> PAGEREF _Toc164795161 \h </w:instrText>
      </w:r>
      <w:r>
        <w:fldChar w:fldCharType="separate"/>
      </w:r>
      <w:r>
        <w:t>15</w:t>
      </w:r>
      <w:r>
        <w:fldChar w:fldCharType="end"/>
      </w:r>
      <w:r>
        <w:fldChar w:fldCharType="end"/>
      </w:r>
    </w:p>
    <w:p w14:paraId="4BCAAD64">
      <w:pPr>
        <w:pStyle w:val="9"/>
        <w:rPr>
          <w:rFonts w:asciiTheme="minorHAnsi" w:hAnsiTheme="minorHAnsi" w:eastAsiaTheme="minorEastAsia" w:cstheme="minorBidi"/>
        </w:rPr>
      </w:pPr>
      <w:r>
        <w:fldChar w:fldCharType="begin"/>
      </w:r>
      <w:r>
        <w:instrText xml:space="preserve"> HYPERLINK \l "_Toc164795162" </w:instrText>
      </w:r>
      <w:r>
        <w:fldChar w:fldCharType="separate"/>
      </w:r>
      <w:r>
        <w:rPr>
          <w:rStyle w:val="18"/>
          <w:rFonts w:eastAsia="黑体"/>
          <w:color w:val="auto"/>
        </w:rPr>
        <w:t xml:space="preserve">8 </w:t>
      </w:r>
      <w:r>
        <w:rPr>
          <w:rStyle w:val="18"/>
          <w:rFonts w:hint="eastAsia" w:eastAsia="黑体"/>
          <w:color w:val="auto"/>
        </w:rPr>
        <w:t>贯彻标准的措施建议</w:t>
      </w:r>
      <w:r>
        <w:tab/>
      </w:r>
      <w:r>
        <w:fldChar w:fldCharType="begin"/>
      </w:r>
      <w:r>
        <w:instrText xml:space="preserve"> PAGEREF _Toc164795162 \h </w:instrText>
      </w:r>
      <w:r>
        <w:fldChar w:fldCharType="separate"/>
      </w:r>
      <w:r>
        <w:t>16</w:t>
      </w:r>
      <w:r>
        <w:fldChar w:fldCharType="end"/>
      </w:r>
      <w:r>
        <w:fldChar w:fldCharType="end"/>
      </w:r>
    </w:p>
    <w:p w14:paraId="09E7D933">
      <w:pPr>
        <w:pStyle w:val="9"/>
        <w:rPr>
          <w:rFonts w:asciiTheme="minorHAnsi" w:hAnsiTheme="minorHAnsi" w:eastAsiaTheme="minorEastAsia" w:cstheme="minorBidi"/>
        </w:rPr>
      </w:pPr>
      <w:r>
        <w:fldChar w:fldCharType="begin"/>
      </w:r>
      <w:r>
        <w:instrText xml:space="preserve"> HYPERLINK \l "_Toc164795163" </w:instrText>
      </w:r>
      <w:r>
        <w:fldChar w:fldCharType="separate"/>
      </w:r>
      <w:r>
        <w:rPr>
          <w:rStyle w:val="18"/>
          <w:rFonts w:eastAsia="黑体"/>
          <w:color w:val="auto"/>
        </w:rPr>
        <w:t xml:space="preserve">9 </w:t>
      </w:r>
      <w:r>
        <w:rPr>
          <w:rStyle w:val="18"/>
          <w:rFonts w:hint="eastAsia" w:eastAsia="黑体"/>
          <w:color w:val="auto"/>
        </w:rPr>
        <w:t>相关标准及参考文献</w:t>
      </w:r>
      <w:r>
        <w:tab/>
      </w:r>
      <w:r>
        <w:fldChar w:fldCharType="begin"/>
      </w:r>
      <w:r>
        <w:instrText xml:space="preserve"> PAGEREF _Toc164795163 \h </w:instrText>
      </w:r>
      <w:r>
        <w:fldChar w:fldCharType="separate"/>
      </w:r>
      <w:r>
        <w:t>16</w:t>
      </w:r>
      <w:r>
        <w:fldChar w:fldCharType="end"/>
      </w:r>
      <w:r>
        <w:fldChar w:fldCharType="end"/>
      </w:r>
    </w:p>
    <w:p w14:paraId="4D3CAC5B">
      <w:pPr>
        <w:widowControl/>
        <w:jc w:val="left"/>
        <w:rPr>
          <w:sz w:val="28"/>
          <w:szCs w:val="28"/>
        </w:rPr>
      </w:pPr>
      <w:r>
        <w:rPr>
          <w:szCs w:val="28"/>
        </w:rPr>
        <w:fldChar w:fldCharType="end"/>
      </w:r>
    </w:p>
    <w:p w14:paraId="65C34C96">
      <w:pPr>
        <w:widowControl/>
        <w:jc w:val="left"/>
        <w:rPr>
          <w:sz w:val="28"/>
          <w:szCs w:val="28"/>
        </w:rPr>
        <w:sectPr>
          <w:headerReference r:id="rId3" w:type="default"/>
          <w:footerReference r:id="rId4" w:type="default"/>
          <w:pgSz w:w="11906" w:h="16838"/>
          <w:pgMar w:top="1440" w:right="1800" w:bottom="1440" w:left="1800" w:header="851" w:footer="992" w:gutter="0"/>
          <w:pgNumType w:fmt="decimal" w:start="1"/>
          <w:cols w:space="720" w:num="1"/>
          <w:docGrid w:type="lines" w:linePitch="312" w:charSpace="0"/>
        </w:sectPr>
      </w:pPr>
    </w:p>
    <w:p w14:paraId="68B5F530">
      <w:pPr>
        <w:pStyle w:val="2"/>
        <w:spacing w:before="120" w:after="120"/>
        <w:rPr>
          <w:rFonts w:eastAsia="黑体"/>
          <w:sz w:val="28"/>
          <w:szCs w:val="28"/>
        </w:rPr>
      </w:pPr>
      <w:bookmarkStart w:id="0" w:name="_Toc8750"/>
      <w:bookmarkStart w:id="1" w:name="_Toc164795155"/>
      <w:bookmarkStart w:id="2" w:name="_Toc22921"/>
      <w:bookmarkStart w:id="3" w:name="_Toc387333547"/>
      <w:r>
        <w:rPr>
          <w:rFonts w:eastAsia="黑体"/>
          <w:sz w:val="28"/>
          <w:szCs w:val="28"/>
        </w:rPr>
        <w:t xml:space="preserve">1 </w:t>
      </w:r>
      <w:r>
        <w:rPr>
          <w:rFonts w:hAnsi="黑体" w:eastAsia="黑体"/>
          <w:sz w:val="28"/>
          <w:szCs w:val="28"/>
        </w:rPr>
        <w:t>标准基本情况</w:t>
      </w:r>
      <w:bookmarkEnd w:id="0"/>
      <w:bookmarkEnd w:id="1"/>
      <w:bookmarkEnd w:id="2"/>
    </w:p>
    <w:p w14:paraId="60A142C8">
      <w:pPr>
        <w:pStyle w:val="4"/>
        <w:spacing w:before="120" w:after="120" w:line="415" w:lineRule="auto"/>
        <w:rPr>
          <w:rFonts w:eastAsia="黑体"/>
          <w:sz w:val="24"/>
          <w:szCs w:val="24"/>
        </w:rPr>
      </w:pPr>
      <w:bookmarkStart w:id="4" w:name="_Toc410059611"/>
      <w:bookmarkStart w:id="5" w:name="_Toc9276"/>
      <w:r>
        <w:rPr>
          <w:rFonts w:eastAsia="黑体"/>
          <w:sz w:val="24"/>
          <w:szCs w:val="24"/>
        </w:rPr>
        <w:t xml:space="preserve">1.1 </w:t>
      </w:r>
      <w:r>
        <w:rPr>
          <w:rFonts w:hAnsi="黑体" w:eastAsia="黑体"/>
          <w:sz w:val="24"/>
          <w:szCs w:val="24"/>
        </w:rPr>
        <w:t>任务来源</w:t>
      </w:r>
      <w:bookmarkEnd w:id="3"/>
      <w:bookmarkEnd w:id="4"/>
      <w:bookmarkEnd w:id="5"/>
    </w:p>
    <w:p w14:paraId="69A62209">
      <w:pPr>
        <w:spacing w:line="360" w:lineRule="auto"/>
        <w:ind w:firstLine="480" w:firstLineChars="200"/>
        <w:rPr>
          <w:rFonts w:hint="eastAsia" w:hAnsi="宋体"/>
          <w:sz w:val="24"/>
          <w:szCs w:val="24"/>
        </w:rPr>
      </w:pPr>
      <w:r>
        <w:rPr>
          <w:rFonts w:hint="eastAsia" w:hAnsi="宋体"/>
          <w:sz w:val="24"/>
          <w:szCs w:val="24"/>
        </w:rPr>
        <w:t>为贯彻落实《中共中央国务院关于全面加强生态环境保护坚决打好污染防治攻坚战的意见》，</w:t>
      </w:r>
      <w:r>
        <w:rPr>
          <w:rFonts w:hAnsi="宋体"/>
          <w:sz w:val="24"/>
          <w:szCs w:val="24"/>
        </w:rPr>
        <w:t>实现对污染源废气有效的监控和管理。</w:t>
      </w:r>
      <w:r>
        <w:rPr>
          <w:rFonts w:hint="eastAsia" w:hAnsi="宋体"/>
          <w:sz w:val="24"/>
          <w:szCs w:val="24"/>
        </w:rPr>
        <w:t>围绕习近平总书记生态文明建设思想，省厅重点支持“打赢污染防治攻坚战，提高大气、水、土壤环境质量标准水平，严守生态环境质量底线，加强生态安全、生物多样性保护，生态保护修复”以及绿色金融等领域的地方标准项目建设，严守生态保护红线，逐步形成富有陕西特色的生态文明标准体系。</w:t>
      </w:r>
    </w:p>
    <w:p w14:paraId="297D2E78">
      <w:pPr>
        <w:spacing w:line="360" w:lineRule="auto"/>
        <w:ind w:firstLine="480" w:firstLineChars="200"/>
        <w:rPr>
          <w:rFonts w:hint="eastAsia" w:hAnsi="宋体"/>
          <w:sz w:val="24"/>
          <w:szCs w:val="24"/>
        </w:rPr>
      </w:pPr>
      <w:r>
        <w:rPr>
          <w:rFonts w:hint="eastAsia" w:hAnsi="宋体"/>
          <w:sz w:val="24"/>
          <w:szCs w:val="24"/>
        </w:rPr>
        <w:t xml:space="preserve">2023年12月29日生态环境部发布了《固定污染源废气 总烃、甲烷和非甲烷总烃的测定 便携式催化氧化-氢火焰离子化检测器法》（HJ 1331-2023）与《固定污染源废气 总烃、甲烷和非甲烷总烃的测定 便携式气相色谱-氢火焰离子化检测器法》（HJ 1332-2023）两项方法标准。随着这两个便携式仪器监测方法的实施，现阶段固定污染源废气中总烃、甲烷、非甲烷总烃的测定将实现从现场采集样品，转交实验室用 </w:t>
      </w:r>
      <w:r>
        <w:rPr>
          <w:rFonts w:hAnsi="宋体"/>
          <w:sz w:val="24"/>
          <w:szCs w:val="24"/>
        </w:rPr>
        <w:t xml:space="preserve">GC-FID </w:t>
      </w:r>
      <w:r>
        <w:rPr>
          <w:rFonts w:hint="eastAsia" w:hAnsi="宋体"/>
          <w:sz w:val="24"/>
          <w:szCs w:val="24"/>
        </w:rPr>
        <w:t>检测、分析到现场原位监测的转变。</w:t>
      </w:r>
      <w:r>
        <w:rPr>
          <w:rFonts w:hint="eastAsia" w:hAnsi="宋体"/>
          <w:sz w:val="24"/>
          <w:szCs w:val="24"/>
          <w:lang w:val="en-US" w:eastAsia="zh-CN"/>
        </w:rPr>
        <w:t>不仅能</w:t>
      </w:r>
      <w:r>
        <w:rPr>
          <w:rFonts w:hint="eastAsia" w:hAnsi="宋体"/>
          <w:sz w:val="24"/>
          <w:szCs w:val="24"/>
        </w:rPr>
        <w:t>有效解决采集、保存、运输等过程发生的样品损失问题</w:t>
      </w:r>
      <w:r>
        <w:rPr>
          <w:rFonts w:hint="eastAsia" w:hAnsi="宋体"/>
          <w:sz w:val="24"/>
          <w:szCs w:val="24"/>
          <w:lang w:eastAsia="zh-CN"/>
        </w:rPr>
        <w:t>，</w:t>
      </w:r>
      <w:r>
        <w:rPr>
          <w:rFonts w:hint="eastAsia" w:hAnsi="宋体"/>
          <w:sz w:val="24"/>
          <w:szCs w:val="24"/>
          <w:lang w:val="en-US" w:eastAsia="zh-CN"/>
        </w:rPr>
        <w:t>而</w:t>
      </w:r>
      <w:r>
        <w:rPr>
          <w:rFonts w:hint="eastAsia" w:hAnsi="宋体"/>
          <w:sz w:val="24"/>
          <w:szCs w:val="24"/>
        </w:rPr>
        <w:t>且</w:t>
      </w:r>
      <w:r>
        <w:rPr>
          <w:rFonts w:hint="eastAsia" w:hAnsi="宋体"/>
          <w:sz w:val="24"/>
          <w:szCs w:val="24"/>
          <w:lang w:val="en-US" w:eastAsia="zh-CN"/>
        </w:rPr>
        <w:t>有</w:t>
      </w:r>
      <w:r>
        <w:rPr>
          <w:rFonts w:hint="eastAsia" w:hAnsi="宋体"/>
          <w:sz w:val="24"/>
          <w:szCs w:val="24"/>
        </w:rPr>
        <w:t>利于对排污企业进行及时有效监管。</w:t>
      </w:r>
    </w:p>
    <w:p w14:paraId="5B6C8ACF">
      <w:pPr>
        <w:spacing w:line="360" w:lineRule="auto"/>
        <w:ind w:firstLine="480" w:firstLineChars="200"/>
        <w:rPr>
          <w:rFonts w:hint="eastAsia" w:hAnsi="宋体"/>
          <w:sz w:val="24"/>
          <w:szCs w:val="24"/>
        </w:rPr>
      </w:pPr>
      <w:r>
        <w:rPr>
          <w:rFonts w:hint="eastAsia" w:hAnsi="宋体"/>
          <w:sz w:val="24"/>
          <w:szCs w:val="24"/>
          <w:lang w:val="en-US" w:eastAsia="zh-CN"/>
        </w:rPr>
        <w:t>然而</w:t>
      </w:r>
      <w:r>
        <w:rPr>
          <w:rFonts w:hint="eastAsia" w:hAnsi="宋体"/>
          <w:sz w:val="24"/>
          <w:szCs w:val="24"/>
        </w:rPr>
        <w:t>目前我国现有的适用于便携式仪器现场监测的固定污染源监测</w:t>
      </w:r>
      <w:r>
        <w:rPr>
          <w:rFonts w:hint="eastAsia" w:hAnsi="宋体"/>
          <w:sz w:val="24"/>
          <w:szCs w:val="24"/>
          <w:lang w:val="en-US" w:eastAsia="zh-CN"/>
        </w:rPr>
        <w:t>技术规范</w:t>
      </w:r>
      <w:r>
        <w:rPr>
          <w:rFonts w:hint="eastAsia" w:hAnsi="宋体"/>
          <w:sz w:val="24"/>
          <w:szCs w:val="24"/>
        </w:rPr>
        <w:t>制定时间较早，在制定时尚无总烃、甲烷和非甲烷总烃等有机废气的现场监测仪器，且当时我国环境废气治理的重点为颗粒物、二氧化硫、氮氧化物等无机污染物，对有机废气的监测研究较少，因此现行固定污染源监测</w:t>
      </w:r>
      <w:r>
        <w:rPr>
          <w:rFonts w:hint="eastAsia" w:hAnsi="宋体"/>
          <w:sz w:val="24"/>
          <w:szCs w:val="24"/>
          <w:lang w:val="en-US" w:eastAsia="zh-CN"/>
        </w:rPr>
        <w:t>技术规范</w:t>
      </w:r>
      <w:r>
        <w:rPr>
          <w:rFonts w:hint="eastAsia" w:hAnsi="宋体"/>
          <w:sz w:val="24"/>
          <w:szCs w:val="24"/>
        </w:rPr>
        <w:t>在编制时以适用于无机污染物的监测为主，对有机气态污染物的监测考虑不够全面。且总烃、甲烷和非甲烷总烃等有机气体性质与无机气体理化性质差别较大，在样品预处理、样品分析原理等都与无机气体现场监测仪器有较大区别，现有的</w:t>
      </w:r>
      <w:r>
        <w:rPr>
          <w:rFonts w:hint="eastAsia"/>
          <w:kern w:val="0"/>
          <w:sz w:val="24"/>
          <w:szCs w:val="24"/>
          <w:lang w:val="en-US" w:eastAsia="zh-CN"/>
        </w:rPr>
        <w:t>标准</w:t>
      </w:r>
      <w:r>
        <w:rPr>
          <w:rFonts w:hint="eastAsia" w:hAnsi="宋体"/>
          <w:sz w:val="24"/>
          <w:szCs w:val="24"/>
        </w:rPr>
        <w:t>对总烃、甲烷和非甲烷总烃等有机废气现场监测指导可操作性不强。</w:t>
      </w:r>
    </w:p>
    <w:p w14:paraId="7DB59DB2">
      <w:pPr>
        <w:autoSpaceDE w:val="0"/>
        <w:autoSpaceDN w:val="0"/>
        <w:adjustRightInd w:val="0"/>
        <w:spacing w:line="360" w:lineRule="auto"/>
        <w:ind w:firstLine="480" w:firstLineChars="200"/>
        <w:rPr>
          <w:rFonts w:hint="eastAsia" w:hAnsi="宋体" w:eastAsia="宋体"/>
          <w:sz w:val="24"/>
          <w:szCs w:val="24"/>
          <w:lang w:eastAsia="zh-CN"/>
        </w:rPr>
      </w:pPr>
      <w:r>
        <w:rPr>
          <w:rFonts w:hint="eastAsia" w:hAnsi="宋体"/>
          <w:sz w:val="24"/>
          <w:szCs w:val="24"/>
          <w:lang w:val="en-US" w:eastAsia="zh-CN"/>
        </w:rPr>
        <w:t>基于以上</w:t>
      </w:r>
      <w:r>
        <w:rPr>
          <w:rFonts w:hint="eastAsia" w:hAnsi="宋体"/>
          <w:sz w:val="24"/>
          <w:szCs w:val="24"/>
        </w:rPr>
        <w:t>情况，在新国标基础上，陕西省生态环境厅组织实施了《固定污染源废气 总烃、甲烷和非甲烷总烃便携式仪器现场测试技术指南》制定工作，</w:t>
      </w:r>
      <w:r>
        <w:rPr>
          <w:rFonts w:hint="eastAsia" w:hAnsi="宋体"/>
          <w:sz w:val="24"/>
          <w:szCs w:val="24"/>
          <w:lang w:val="en-US" w:eastAsia="zh-CN"/>
        </w:rPr>
        <w:t>标准</w:t>
      </w:r>
      <w:r>
        <w:rPr>
          <w:rFonts w:hint="eastAsia" w:hAnsi="宋体"/>
          <w:sz w:val="24"/>
          <w:szCs w:val="24"/>
        </w:rPr>
        <w:t>的制定由陕西省环境监测中心站承担。</w:t>
      </w:r>
      <w:r>
        <w:rPr>
          <w:rFonts w:hint="eastAsia"/>
          <w:kern w:val="0"/>
          <w:sz w:val="24"/>
          <w:szCs w:val="24"/>
        </w:rPr>
        <w:t>2023</w:t>
      </w:r>
      <w:r>
        <w:rPr>
          <w:kern w:val="0"/>
          <w:sz w:val="24"/>
          <w:szCs w:val="24"/>
        </w:rPr>
        <w:t>年</w:t>
      </w:r>
      <w:r>
        <w:rPr>
          <w:rFonts w:hint="eastAsia"/>
          <w:kern w:val="0"/>
          <w:sz w:val="24"/>
          <w:szCs w:val="24"/>
        </w:rPr>
        <w:t>4</w:t>
      </w:r>
      <w:r>
        <w:rPr>
          <w:kern w:val="0"/>
          <w:sz w:val="24"/>
          <w:szCs w:val="24"/>
        </w:rPr>
        <w:t>月</w:t>
      </w:r>
      <w:r>
        <w:rPr>
          <w:rFonts w:hint="eastAsia"/>
          <w:kern w:val="0"/>
          <w:sz w:val="24"/>
          <w:szCs w:val="24"/>
        </w:rPr>
        <w:t>陕西省环境</w:t>
      </w:r>
      <w:r>
        <w:rPr>
          <w:kern w:val="0"/>
          <w:sz w:val="24"/>
          <w:szCs w:val="24"/>
        </w:rPr>
        <w:t>监测中心</w:t>
      </w:r>
      <w:r>
        <w:rPr>
          <w:rFonts w:hint="eastAsia"/>
          <w:kern w:val="0"/>
          <w:sz w:val="24"/>
          <w:szCs w:val="24"/>
        </w:rPr>
        <w:t>站</w:t>
      </w:r>
      <w:r>
        <w:rPr>
          <w:kern w:val="0"/>
          <w:sz w:val="24"/>
          <w:szCs w:val="24"/>
        </w:rPr>
        <w:t>递交了</w:t>
      </w:r>
      <w:r>
        <w:rPr>
          <w:rFonts w:hint="eastAsia"/>
          <w:kern w:val="0"/>
          <w:sz w:val="24"/>
          <w:szCs w:val="24"/>
          <w:lang w:val="en-US" w:eastAsia="zh-CN"/>
        </w:rPr>
        <w:t>立项</w:t>
      </w:r>
      <w:r>
        <w:rPr>
          <w:kern w:val="0"/>
          <w:sz w:val="24"/>
          <w:szCs w:val="24"/>
        </w:rPr>
        <w:t>申请书</w:t>
      </w:r>
      <w:r>
        <w:rPr>
          <w:rFonts w:hint="eastAsia"/>
          <w:kern w:val="0"/>
          <w:sz w:val="24"/>
          <w:szCs w:val="24"/>
          <w:lang w:eastAsia="zh-CN"/>
        </w:rPr>
        <w:t>，</w:t>
      </w:r>
      <w:r>
        <w:rPr>
          <w:rFonts w:hint="eastAsia"/>
          <w:kern w:val="0"/>
          <w:sz w:val="24"/>
          <w:szCs w:val="24"/>
          <w:lang w:val="en-US" w:eastAsia="zh-CN"/>
        </w:rPr>
        <w:t>并</w:t>
      </w:r>
      <w:r>
        <w:rPr>
          <w:rFonts w:hint="eastAsia"/>
          <w:kern w:val="0"/>
          <w:sz w:val="24"/>
          <w:szCs w:val="24"/>
        </w:rPr>
        <w:t>进行开题论证答辩。2023年5月陕西省市场监督管理局</w:t>
      </w:r>
      <w:r>
        <w:rPr>
          <w:rFonts w:hint="eastAsia"/>
          <w:kern w:val="0"/>
          <w:sz w:val="24"/>
          <w:szCs w:val="24"/>
          <w:lang w:val="en-US" w:eastAsia="zh-CN"/>
        </w:rPr>
        <w:t>发布</w:t>
      </w:r>
      <w:r>
        <w:rPr>
          <w:rFonts w:ascii="宋体" w:hAnsi="宋体" w:eastAsia="宋体" w:cs="宋体"/>
          <w:sz w:val="24"/>
          <w:szCs w:val="24"/>
        </w:rPr>
        <w:t>《关于下达2023年度陕西省地方标准修订项目计划的通知》(陕市监函〔2023〕410号)</w:t>
      </w:r>
      <w:r>
        <w:rPr>
          <w:rFonts w:hint="eastAsia" w:ascii="宋体" w:hAnsi="宋体" w:cs="宋体"/>
          <w:sz w:val="24"/>
          <w:szCs w:val="24"/>
          <w:lang w:val="en-US" w:eastAsia="zh-CN"/>
        </w:rPr>
        <w:t>文件</w:t>
      </w:r>
      <w:r>
        <w:rPr>
          <w:rFonts w:ascii="宋体" w:hAnsi="宋体" w:eastAsia="宋体" w:cs="宋体"/>
          <w:sz w:val="24"/>
          <w:szCs w:val="24"/>
        </w:rPr>
        <w:t>，</w:t>
      </w:r>
      <w:r>
        <w:rPr>
          <w:rFonts w:hint="eastAsia"/>
          <w:kern w:val="0"/>
          <w:sz w:val="24"/>
          <w:szCs w:val="24"/>
        </w:rPr>
        <w:t>将</w:t>
      </w:r>
      <w:r>
        <w:rPr>
          <w:rFonts w:hint="eastAsia" w:hAnsi="宋体"/>
          <w:sz w:val="24"/>
          <w:szCs w:val="24"/>
        </w:rPr>
        <w:t>《固定污染源废气 总烃、甲烷和非甲烷总烃便携式仪器现场测试技术指南》</w:t>
      </w:r>
      <w:r>
        <w:rPr>
          <w:rFonts w:hint="eastAsia"/>
          <w:kern w:val="0"/>
          <w:sz w:val="24"/>
          <w:szCs w:val="24"/>
        </w:rPr>
        <w:t>列入2023年地方标准</w:t>
      </w:r>
      <w:r>
        <w:rPr>
          <w:rFonts w:hint="eastAsia"/>
          <w:kern w:val="0"/>
          <w:sz w:val="24"/>
          <w:szCs w:val="24"/>
          <w:lang w:val="en-US" w:eastAsia="zh-CN"/>
        </w:rPr>
        <w:t>制修订</w:t>
      </w:r>
      <w:r>
        <w:rPr>
          <w:rFonts w:hint="eastAsia"/>
          <w:kern w:val="0"/>
          <w:sz w:val="24"/>
          <w:szCs w:val="24"/>
        </w:rPr>
        <w:t>计划中。</w:t>
      </w:r>
      <w:r>
        <w:rPr>
          <w:kern w:val="0"/>
          <w:sz w:val="24"/>
          <w:szCs w:val="24"/>
        </w:rPr>
        <w:t xml:space="preserve"> </w:t>
      </w:r>
      <w:r>
        <w:rPr>
          <w:rFonts w:hint="eastAsia"/>
          <w:kern w:val="0"/>
          <w:sz w:val="24"/>
          <w:szCs w:val="24"/>
        </w:rPr>
        <w:t>2023年7月</w:t>
      </w:r>
      <w:r>
        <w:rPr>
          <w:rFonts w:hint="eastAsia" w:hAnsi="宋体"/>
          <w:sz w:val="24"/>
          <w:szCs w:val="24"/>
        </w:rPr>
        <w:t>陕西省环境监测中心站</w:t>
      </w:r>
      <w:r>
        <w:rPr>
          <w:rFonts w:hint="eastAsia"/>
          <w:kern w:val="0"/>
          <w:sz w:val="24"/>
          <w:szCs w:val="24"/>
        </w:rPr>
        <w:t>成立</w:t>
      </w:r>
      <w:r>
        <w:rPr>
          <w:rFonts w:hint="eastAsia" w:hAnsi="宋体"/>
          <w:sz w:val="24"/>
          <w:szCs w:val="24"/>
          <w:lang w:val="en-US" w:eastAsia="zh-CN"/>
        </w:rPr>
        <w:t>标准</w:t>
      </w:r>
      <w:r>
        <w:rPr>
          <w:rFonts w:hint="eastAsia"/>
          <w:kern w:val="0"/>
          <w:sz w:val="24"/>
          <w:szCs w:val="24"/>
        </w:rPr>
        <w:t>编制项目组，</w:t>
      </w:r>
      <w:r>
        <w:rPr>
          <w:rFonts w:hint="eastAsia"/>
          <w:kern w:val="0"/>
          <w:sz w:val="24"/>
          <w:szCs w:val="24"/>
          <w:lang w:val="en-US" w:eastAsia="zh-CN"/>
        </w:rPr>
        <w:t>同时</w:t>
      </w:r>
      <w:r>
        <w:rPr>
          <w:rFonts w:hint="eastAsia"/>
          <w:kern w:val="0"/>
          <w:sz w:val="24"/>
          <w:szCs w:val="24"/>
        </w:rPr>
        <w:t>启动</w:t>
      </w:r>
      <w:r>
        <w:rPr>
          <w:rFonts w:hint="eastAsia" w:hAnsi="宋体"/>
          <w:sz w:val="24"/>
          <w:szCs w:val="24"/>
          <w:lang w:val="en-US" w:eastAsia="zh-CN"/>
        </w:rPr>
        <w:t>标准</w:t>
      </w:r>
      <w:r>
        <w:rPr>
          <w:rFonts w:hint="eastAsia"/>
          <w:kern w:val="0"/>
          <w:sz w:val="24"/>
          <w:szCs w:val="24"/>
        </w:rPr>
        <w:t>编制工作</w:t>
      </w:r>
      <w:r>
        <w:rPr>
          <w:rFonts w:hint="eastAsia"/>
          <w:kern w:val="0"/>
          <w:sz w:val="24"/>
          <w:szCs w:val="24"/>
          <w:lang w:eastAsia="zh-CN"/>
        </w:rPr>
        <w:t>。</w:t>
      </w:r>
    </w:p>
    <w:p w14:paraId="338F795B">
      <w:pPr>
        <w:pStyle w:val="4"/>
        <w:spacing w:before="120" w:after="120" w:line="415" w:lineRule="auto"/>
        <w:rPr>
          <w:rFonts w:eastAsia="黑体"/>
          <w:sz w:val="24"/>
          <w:szCs w:val="24"/>
        </w:rPr>
      </w:pPr>
      <w:bookmarkStart w:id="6" w:name="_Toc28563"/>
      <w:r>
        <w:rPr>
          <w:rFonts w:eastAsia="黑体"/>
          <w:sz w:val="24"/>
          <w:szCs w:val="24"/>
        </w:rPr>
        <w:t xml:space="preserve">1.2 </w:t>
      </w:r>
      <w:r>
        <w:rPr>
          <w:rFonts w:hAnsi="黑体" w:eastAsia="黑体"/>
          <w:sz w:val="24"/>
          <w:szCs w:val="24"/>
        </w:rPr>
        <w:t>工作过程</w:t>
      </w:r>
      <w:bookmarkEnd w:id="6"/>
    </w:p>
    <w:p w14:paraId="0637A513">
      <w:pPr>
        <w:autoSpaceDE w:val="0"/>
        <w:autoSpaceDN w:val="0"/>
        <w:adjustRightInd w:val="0"/>
        <w:spacing w:line="360" w:lineRule="auto"/>
        <w:ind w:firstLine="480" w:firstLineChars="200"/>
        <w:rPr>
          <w:rFonts w:hint="eastAsia"/>
          <w:kern w:val="0"/>
          <w:sz w:val="24"/>
          <w:szCs w:val="24"/>
        </w:rPr>
      </w:pPr>
      <w:r>
        <w:rPr>
          <w:rFonts w:hint="eastAsia" w:ascii="宋体" w:hAnsi="宋体" w:eastAsia="宋体" w:cs="宋体"/>
          <w:sz w:val="24"/>
          <w:szCs w:val="24"/>
          <w:lang w:val="en-US" w:eastAsia="zh-CN"/>
        </w:rPr>
        <w:t>2023年5月</w:t>
      </w:r>
      <w:r>
        <w:rPr>
          <w:rFonts w:hint="eastAsia"/>
          <w:kern w:val="0"/>
          <w:sz w:val="24"/>
          <w:szCs w:val="24"/>
        </w:rPr>
        <w:t>-</w:t>
      </w:r>
      <w:r>
        <w:rPr>
          <w:rFonts w:hint="eastAsia"/>
          <w:kern w:val="0"/>
          <w:sz w:val="24"/>
          <w:szCs w:val="24"/>
          <w:lang w:val="en-US" w:eastAsia="zh-CN"/>
        </w:rPr>
        <w:t>6</w:t>
      </w:r>
      <w:r>
        <w:rPr>
          <w:rFonts w:hint="eastAsia"/>
          <w:kern w:val="0"/>
          <w:sz w:val="24"/>
          <w:szCs w:val="24"/>
        </w:rPr>
        <w:t>月</w:t>
      </w:r>
      <w:r>
        <w:rPr>
          <w:rFonts w:hint="eastAsia" w:ascii="宋体" w:hAnsi="宋体" w:eastAsia="宋体" w:cs="宋体"/>
          <w:sz w:val="24"/>
          <w:szCs w:val="24"/>
          <w:lang w:val="en-US" w:eastAsia="zh-CN"/>
        </w:rPr>
        <w:t>，由陕西省环境监测中心站组织，陕西正为环境检测股份有限公司参与组建标准编制组。通过多次内部专题研讨，确定了工作方案，对参编单位进行分工，制定了工作计划。</w:t>
      </w:r>
      <w:r>
        <w:rPr>
          <w:rFonts w:hint="eastAsia"/>
          <w:kern w:val="0"/>
          <w:sz w:val="24"/>
          <w:szCs w:val="24"/>
          <w:lang w:val="en-US" w:eastAsia="zh-CN"/>
        </w:rPr>
        <w:t>具体流程</w:t>
      </w:r>
      <w:r>
        <w:rPr>
          <w:rFonts w:hint="eastAsia"/>
          <w:kern w:val="0"/>
          <w:sz w:val="24"/>
          <w:szCs w:val="24"/>
        </w:rPr>
        <w:t>见</w:t>
      </w:r>
      <w:r>
        <w:rPr>
          <w:kern w:val="0"/>
          <w:sz w:val="24"/>
          <w:szCs w:val="24"/>
        </w:rPr>
        <w:t>图1</w:t>
      </w:r>
      <w:r>
        <w:rPr>
          <w:rFonts w:hint="eastAsia"/>
          <w:kern w:val="0"/>
          <w:sz w:val="24"/>
          <w:szCs w:val="24"/>
          <w:lang w:eastAsia="zh-CN"/>
        </w:rPr>
        <w:t>，</w:t>
      </w:r>
      <w:r>
        <w:rPr>
          <w:rFonts w:hint="eastAsia"/>
          <w:kern w:val="0"/>
          <w:sz w:val="24"/>
          <w:szCs w:val="24"/>
          <w:lang w:val="en-US" w:eastAsia="zh-CN"/>
        </w:rPr>
        <w:t>任务分工见表1</w:t>
      </w:r>
      <w:r>
        <w:rPr>
          <w:rFonts w:hint="eastAsia"/>
          <w:kern w:val="0"/>
          <w:sz w:val="24"/>
          <w:szCs w:val="24"/>
        </w:rPr>
        <w:t>。</w:t>
      </w:r>
    </w:p>
    <w:p w14:paraId="0176AFE7">
      <w:pPr>
        <w:autoSpaceDE w:val="0"/>
        <w:autoSpaceDN w:val="0"/>
        <w:adjustRightInd w:val="0"/>
        <w:spacing w:line="360" w:lineRule="auto"/>
        <w:rPr>
          <w:kern w:val="0"/>
          <w:sz w:val="24"/>
          <w:szCs w:val="24"/>
        </w:rPr>
      </w:pPr>
      <w:r>
        <w:rPr>
          <w:sz w:val="24"/>
        </w:rPr>
        <mc:AlternateContent>
          <mc:Choice Requires="wpg">
            <w:drawing>
              <wp:anchor distT="0" distB="0" distL="114300" distR="114300" simplePos="0" relativeHeight="251659264" behindDoc="0" locked="0" layoutInCell="1" allowOverlap="1">
                <wp:simplePos x="0" y="0"/>
                <wp:positionH relativeFrom="column">
                  <wp:posOffset>-130810</wp:posOffset>
                </wp:positionH>
                <wp:positionV relativeFrom="paragraph">
                  <wp:posOffset>57785</wp:posOffset>
                </wp:positionV>
                <wp:extent cx="5612765" cy="5489575"/>
                <wp:effectExtent l="6350" t="6350" r="19685" b="9525"/>
                <wp:wrapNone/>
                <wp:docPr id="1" name="组合 1"/>
                <wp:cNvGraphicFramePr/>
                <a:graphic xmlns:a="http://schemas.openxmlformats.org/drawingml/2006/main">
                  <a:graphicData uri="http://schemas.microsoft.com/office/word/2010/wordprocessingGroup">
                    <wpg:wgp>
                      <wpg:cNvGrpSpPr/>
                      <wpg:grpSpPr>
                        <a:xfrm>
                          <a:off x="0" y="0"/>
                          <a:ext cx="5612765" cy="5489553"/>
                          <a:chOff x="2245" y="57720"/>
                          <a:chExt cx="8830" cy="8958"/>
                        </a:xfrm>
                      </wpg:grpSpPr>
                      <wpg:grpSp>
                        <wpg:cNvPr id="740132362" name="组合 32"/>
                        <wpg:cNvGrpSpPr/>
                        <wpg:grpSpPr>
                          <a:xfrm>
                            <a:off x="2323" y="57720"/>
                            <a:ext cx="8647" cy="4297"/>
                            <a:chOff x="0" y="0"/>
                            <a:chExt cx="5490845" cy="2728741"/>
                          </a:xfrm>
                        </wpg:grpSpPr>
                        <wps:wsp>
                          <wps:cNvPr id="2074253808" name="矩形: 圆角 2074253808"/>
                          <wps:cNvSpPr/>
                          <wps:spPr>
                            <a:xfrm>
                              <a:off x="773040" y="0"/>
                              <a:ext cx="1447800" cy="450850"/>
                            </a:xfrm>
                            <a:prstGeom prst="roundRect">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E6E9E3">
                                <w:pPr>
                                  <w:adjustRightInd w:val="0"/>
                                  <w:snapToGrid w:val="0"/>
                                  <w:spacing w:line="240" w:lineRule="atLeas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查阅相关文献，了解国内外V</w:t>
                                </w:r>
                                <w:r>
                                  <w:rPr>
                                    <w:rFonts w:ascii="宋体" w:hAnsi="宋体"/>
                                    <w:color w:val="000000" w:themeColor="text1"/>
                                    <w:sz w:val="18"/>
                                    <w:szCs w:val="18"/>
                                    <w14:textFill>
                                      <w14:solidFill>
                                        <w14:schemeClr w14:val="tx1"/>
                                      </w14:solidFill>
                                    </w14:textFill>
                                  </w:rPr>
                                  <w:t>OC</w:t>
                                </w:r>
                                <w:r>
                                  <w:rPr>
                                    <w:rFonts w:hint="eastAsia" w:ascii="宋体" w:hAnsi="宋体"/>
                                    <w:color w:val="000000" w:themeColor="text1"/>
                                    <w:sz w:val="18"/>
                                    <w:szCs w:val="18"/>
                                    <w14:textFill>
                                      <w14:solidFill>
                                        <w14:schemeClr w14:val="tx1"/>
                                      </w14:solidFill>
                                    </w14:textFill>
                                  </w:rPr>
                                  <w:t>监测现状</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35506318" name="箭头: 左右 835506318"/>
                          <wps:cNvSpPr/>
                          <wps:spPr>
                            <a:xfrm>
                              <a:off x="2252687" y="226939"/>
                              <a:ext cx="647700" cy="107950"/>
                            </a:xfrm>
                            <a:prstGeom prst="leftRightArrow">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03888219" name="矩形: 圆角 1403888219"/>
                          <wps:cNvSpPr/>
                          <wps:spPr>
                            <a:xfrm>
                              <a:off x="2925397" y="21101"/>
                              <a:ext cx="1447800" cy="450850"/>
                            </a:xfrm>
                            <a:prstGeom prst="roundRect">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20CBBB">
                                <w:pPr>
                                  <w:adjustRightInd w:val="0"/>
                                  <w:snapToGrid w:val="0"/>
                                  <w:spacing w:line="240" w:lineRule="atLeas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监测方法解读、专家学者咨询相关信息</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10748370" name="箭头: 左弧形 1610748370"/>
                          <wps:cNvSpPr/>
                          <wps:spPr>
                            <a:xfrm>
                              <a:off x="1539729" y="506437"/>
                              <a:ext cx="254000" cy="476250"/>
                            </a:xfrm>
                            <a:prstGeom prst="curvedRightArrow">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13132475" name="箭头: 左弧形 4"/>
                          <wps:cNvSpPr/>
                          <wps:spPr>
                            <a:xfrm>
                              <a:off x="1251341" y="1906172"/>
                              <a:ext cx="254000" cy="476250"/>
                            </a:xfrm>
                            <a:prstGeom prst="curvedRightArrow">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18366322" name="箭头: 右弧形 418366322"/>
                          <wps:cNvSpPr/>
                          <wps:spPr>
                            <a:xfrm>
                              <a:off x="3441407" y="506437"/>
                              <a:ext cx="279400" cy="476250"/>
                            </a:xfrm>
                            <a:prstGeom prst="curvedLeftArrow">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09759824" name="箭头: 右弧形 5"/>
                          <wps:cNvSpPr/>
                          <wps:spPr>
                            <a:xfrm>
                              <a:off x="3729795" y="1892104"/>
                              <a:ext cx="279400" cy="476250"/>
                            </a:xfrm>
                            <a:prstGeom prst="curvedLeftArrow">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16312836" name="矩形: 圆角 1216312836"/>
                          <wps:cNvSpPr/>
                          <wps:spPr>
                            <a:xfrm>
                              <a:off x="1795840" y="711987"/>
                              <a:ext cx="1651209" cy="688956"/>
                            </a:xfrm>
                            <a:prstGeom prst="roundRect">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88BCAD">
                                <w:pPr>
                                  <w:adjustRightInd w:val="0"/>
                                  <w:snapToGrid w:val="0"/>
                                  <w:spacing w:line="240" w:lineRule="atLeas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确定课题;固定污染源废气 总烃、甲烷和非甲烷总烃便携式仪器现场测试技术指南</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58986505" name="矩形: 圆角 1058986505"/>
                          <wps:cNvSpPr/>
                          <wps:spPr>
                            <a:xfrm>
                              <a:off x="322873" y="1568548"/>
                              <a:ext cx="1863725" cy="298450"/>
                            </a:xfrm>
                            <a:prstGeom prst="roundRect">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79D52B">
                                <w:pPr>
                                  <w:adjustRightInd w:val="0"/>
                                  <w:snapToGrid w:val="0"/>
                                  <w:spacing w:line="240" w:lineRule="atLeas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检索、查阅相关文献，梳理分类</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25556182" name="箭头: 丁字 1925556182"/>
                          <wps:cNvSpPr/>
                          <wps:spPr>
                            <a:xfrm>
                              <a:off x="2379297" y="1606257"/>
                              <a:ext cx="609600" cy="222250"/>
                            </a:xfrm>
                            <a:prstGeom prst="leftRightUpArrow">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03118834" name="矩形: 圆角 1303118834"/>
                          <wps:cNvSpPr/>
                          <wps:spPr>
                            <a:xfrm>
                              <a:off x="3108277" y="1582615"/>
                              <a:ext cx="1778000" cy="298450"/>
                            </a:xfrm>
                            <a:prstGeom prst="roundRect">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88702C">
                                <w:pPr>
                                  <w:adjustRightInd w:val="0"/>
                                  <w:snapToGrid w:val="0"/>
                                  <w:spacing w:line="240" w:lineRule="atLeas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按行业实地考察、整理分析</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41759680" name="矩形: 圆角 2041759680"/>
                          <wps:cNvSpPr/>
                          <wps:spPr>
                            <a:xfrm>
                              <a:off x="0" y="2392191"/>
                              <a:ext cx="5490845" cy="336550"/>
                            </a:xfrm>
                            <a:prstGeom prst="roundRect">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F9A3A2">
                                <w:pPr>
                                  <w:adjustRightInd w:val="0"/>
                                  <w:snapToGrid w:val="0"/>
                                  <w:spacing w:line="240" w:lineRule="atLeast"/>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制定具体研究计划</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g:cNvPr id="392735768" name="组合 33"/>
                        <wpg:cNvGrpSpPr/>
                        <wpg:grpSpPr>
                          <a:xfrm>
                            <a:off x="2245" y="62043"/>
                            <a:ext cx="8830" cy="4635"/>
                            <a:chOff x="0" y="0"/>
                            <a:chExt cx="5607203" cy="2943176"/>
                          </a:xfrm>
                        </wpg:grpSpPr>
                        <wps:wsp>
                          <wps:cNvPr id="623306375" name="矩形: 圆角 17"/>
                          <wps:cNvSpPr/>
                          <wps:spPr>
                            <a:xfrm>
                              <a:off x="1357533" y="428380"/>
                              <a:ext cx="1262380" cy="298450"/>
                            </a:xfrm>
                            <a:prstGeom prst="roundRect">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D2332E">
                                <w:pPr>
                                  <w:adjustRightInd w:val="0"/>
                                  <w:snapToGrid w:val="0"/>
                                  <w:spacing w:line="240" w:lineRule="atLeast"/>
                                  <w:ind w:firstLine="180" w:firstLineChars="10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现有分析方法研究</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68720104" name="矩形: 圆角 17"/>
                          <wps:cNvSpPr/>
                          <wps:spPr>
                            <a:xfrm>
                              <a:off x="2764302" y="414313"/>
                              <a:ext cx="1434465" cy="298450"/>
                            </a:xfrm>
                            <a:prstGeom prst="roundRect">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05C47B">
                                <w:pPr>
                                  <w:adjustRightInd w:val="0"/>
                                  <w:snapToGrid w:val="0"/>
                                  <w:spacing w:line="240" w:lineRule="atLeas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国外主要</w:t>
                                </w:r>
                                <w:r>
                                  <w:rPr>
                                    <w:rFonts w:hint="eastAsia" w:ascii="宋体" w:hAnsi="宋体"/>
                                    <w:color w:val="000000" w:themeColor="text1"/>
                                    <w:sz w:val="18"/>
                                    <w:szCs w:val="18"/>
                                    <w:lang w:val="en-US" w:eastAsia="zh-CN"/>
                                    <w14:textFill>
                                      <w14:solidFill>
                                        <w14:schemeClr w14:val="tx1"/>
                                      </w14:solidFill>
                                    </w14:textFill>
                                  </w:rPr>
                                  <w:t>技术指南</w:t>
                                </w:r>
                                <w:r>
                                  <w:rPr>
                                    <w:rFonts w:hint="eastAsia" w:ascii="宋体" w:hAnsi="宋体"/>
                                    <w:color w:val="000000" w:themeColor="text1"/>
                                    <w:sz w:val="18"/>
                                    <w:szCs w:val="18"/>
                                    <w14:textFill>
                                      <w14:solidFill>
                                        <w14:schemeClr w14:val="tx1"/>
                                      </w14:solidFill>
                                    </w14:textFill>
                                  </w:rPr>
                                  <w:t>分析</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51414775" name="矩形: 圆角 17"/>
                          <wps:cNvSpPr/>
                          <wps:spPr>
                            <a:xfrm>
                              <a:off x="4375736" y="414997"/>
                              <a:ext cx="1187450" cy="298450"/>
                            </a:xfrm>
                            <a:prstGeom prst="roundRect">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7BBF31">
                                <w:pPr>
                                  <w:adjustRightInd w:val="0"/>
                                  <w:snapToGrid w:val="0"/>
                                  <w:spacing w:line="240" w:lineRule="atLeas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本省监测现状研究</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82158346" name="矩形: 圆角 1782158346"/>
                          <wps:cNvSpPr/>
                          <wps:spPr>
                            <a:xfrm>
                              <a:off x="35169" y="435414"/>
                              <a:ext cx="1187450" cy="298450"/>
                            </a:xfrm>
                            <a:prstGeom prst="roundRect">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48D3FD">
                                <w:pPr>
                                  <w:adjustRightInd w:val="0"/>
                                  <w:snapToGrid w:val="0"/>
                                  <w:spacing w:line="240" w:lineRule="atLeas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现有</w:t>
                                </w:r>
                                <w:r>
                                  <w:rPr>
                                    <w:rFonts w:hint="eastAsia" w:ascii="宋体" w:hAnsi="宋体"/>
                                    <w:color w:val="000000" w:themeColor="text1"/>
                                    <w:sz w:val="18"/>
                                    <w:szCs w:val="18"/>
                                    <w:lang w:val="en-US" w:eastAsia="zh-CN"/>
                                    <w14:textFill>
                                      <w14:solidFill>
                                        <w14:schemeClr w14:val="tx1"/>
                                      </w14:solidFill>
                                    </w14:textFill>
                                  </w:rPr>
                                  <w:t>技术指南</w:t>
                                </w:r>
                                <w:r>
                                  <w:rPr>
                                    <w:rFonts w:hint="eastAsia" w:ascii="宋体" w:hAnsi="宋体"/>
                                    <w:color w:val="000000" w:themeColor="text1"/>
                                    <w:sz w:val="18"/>
                                    <w:szCs w:val="18"/>
                                    <w14:textFill>
                                      <w14:solidFill>
                                        <w14:schemeClr w14:val="tx1"/>
                                      </w14:solidFill>
                                    </w14:textFill>
                                  </w:rPr>
                                  <w:t>研究</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99657824" name="矩形: 圆角 25"/>
                          <wps:cNvSpPr/>
                          <wps:spPr>
                            <a:xfrm>
                              <a:off x="0" y="1159900"/>
                              <a:ext cx="3733800" cy="298450"/>
                            </a:xfrm>
                            <a:prstGeom prst="roundRect">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809758">
                                <w:pPr>
                                  <w:adjustRightInd w:val="0"/>
                                  <w:snapToGrid w:val="0"/>
                                  <w:spacing w:line="240" w:lineRule="atLeast"/>
                                  <w:rPr>
                                    <w:rFonts w:hint="default" w:ascii="宋体" w:hAnsi="宋体" w:eastAsia="宋体"/>
                                    <w:color w:val="000000" w:themeColor="text1"/>
                                    <w:sz w:val="18"/>
                                    <w:szCs w:val="18"/>
                                    <w:lang w:val="en-US" w:eastAsia="zh-CN"/>
                                    <w14:textFill>
                                      <w14:solidFill>
                                        <w14:schemeClr w14:val="tx1"/>
                                      </w14:solidFill>
                                    </w14:textFill>
                                  </w:rPr>
                                </w:pPr>
                                <w:r>
                                  <w:rPr>
                                    <w:rFonts w:hint="eastAsia" w:ascii="宋体" w:hAnsi="宋体"/>
                                    <w:color w:val="000000" w:themeColor="text1"/>
                                    <w:sz w:val="18"/>
                                    <w:szCs w:val="18"/>
                                    <w14:textFill>
                                      <w14:solidFill>
                                        <w14:schemeClr w14:val="tx1"/>
                                      </w14:solidFill>
                                    </w14:textFill>
                                  </w:rPr>
                                  <w:t>通过对比研究，吸收国外监测技术，编写适合国内的</w:t>
                                </w:r>
                                <w:r>
                                  <w:rPr>
                                    <w:rFonts w:hint="eastAsia" w:ascii="宋体" w:hAnsi="宋体"/>
                                    <w:color w:val="000000" w:themeColor="text1"/>
                                    <w:sz w:val="18"/>
                                    <w:szCs w:val="18"/>
                                    <w:lang w:val="en-US" w:eastAsia="zh-CN"/>
                                    <w14:textFill>
                                      <w14:solidFill>
                                        <w14:schemeClr w14:val="tx1"/>
                                      </w14:solidFill>
                                    </w14:textFill>
                                  </w:rPr>
                                  <w:t>现场测试技术指南</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48744007" name="矩形: 圆角 26"/>
                          <wps:cNvSpPr/>
                          <wps:spPr>
                            <a:xfrm>
                              <a:off x="3862049" y="1174499"/>
                              <a:ext cx="1745154" cy="282274"/>
                            </a:xfrm>
                            <a:prstGeom prst="roundRect">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50C385">
                                <w:pPr>
                                  <w:adjustRightInd w:val="0"/>
                                  <w:snapToGrid w:val="0"/>
                                  <w:spacing w:line="240" w:lineRule="atLeas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本省总烃</w:t>
                                </w:r>
                                <w:r>
                                  <w:rPr>
                                    <w:rFonts w:hint="eastAsia" w:ascii="宋体" w:hAnsi="宋体"/>
                                    <w:color w:val="000000" w:themeColor="text1"/>
                                    <w:sz w:val="18"/>
                                    <w:szCs w:val="18"/>
                                    <w:lang w:val="en-US" w:eastAsia="zh-CN"/>
                                    <w14:textFill>
                                      <w14:solidFill>
                                        <w14:schemeClr w14:val="tx1"/>
                                      </w14:solidFill>
                                    </w14:textFill>
                                  </w:rPr>
                                  <w:t>等</w:t>
                                </w:r>
                                <w:r>
                                  <w:rPr>
                                    <w:rFonts w:hint="eastAsia" w:ascii="宋体" w:hAnsi="宋体"/>
                                    <w:color w:val="000000" w:themeColor="text1"/>
                                    <w:sz w:val="18"/>
                                    <w:szCs w:val="18"/>
                                    <w14:textFill>
                                      <w14:solidFill>
                                        <w14:schemeClr w14:val="tx1"/>
                                      </w14:solidFill>
                                    </w14:textFill>
                                  </w:rPr>
                                  <w:t>监测中存在的问题</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1115033260" name="组合 33"/>
                          <wpg:cNvGrpSpPr/>
                          <wpg:grpSpPr>
                            <a:xfrm>
                              <a:off x="561340" y="0"/>
                              <a:ext cx="4447149" cy="330004"/>
                              <a:chOff x="0" y="0"/>
                              <a:chExt cx="4447149" cy="330004"/>
                            </a:xfrm>
                          </wpg:grpSpPr>
                          <wps:wsp>
                            <wps:cNvPr id="1603015164" name="箭头: 下 13"/>
                            <wps:cNvSpPr/>
                            <wps:spPr>
                              <a:xfrm>
                                <a:off x="2750234" y="63304"/>
                                <a:ext cx="114300" cy="266700"/>
                              </a:xfrm>
                              <a:prstGeom prst="downArrow">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433237" name="箭头: 下 13"/>
                            <wps:cNvSpPr/>
                            <wps:spPr>
                              <a:xfrm>
                                <a:off x="4332849" y="0"/>
                                <a:ext cx="114300" cy="266700"/>
                              </a:xfrm>
                              <a:prstGeom prst="downArrow">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67902167" name="箭头: 下 1467902167"/>
                            <wps:cNvSpPr/>
                            <wps:spPr>
                              <a:xfrm>
                                <a:off x="0" y="49236"/>
                                <a:ext cx="114300" cy="266700"/>
                              </a:xfrm>
                              <a:prstGeom prst="downArrow">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49081584" name="箭头: 下 13"/>
                            <wps:cNvSpPr/>
                            <wps:spPr>
                              <a:xfrm>
                                <a:off x="1427870" y="56270"/>
                                <a:ext cx="114300" cy="266700"/>
                              </a:xfrm>
                              <a:prstGeom prst="downArrow">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1930378120" name="组合 32"/>
                          <wpg:cNvGrpSpPr/>
                          <wpg:grpSpPr>
                            <a:xfrm>
                              <a:off x="735135" y="785739"/>
                              <a:ext cx="4382623" cy="283259"/>
                              <a:chOff x="0" y="0"/>
                              <a:chExt cx="4382623" cy="283259"/>
                            </a:xfrm>
                          </wpg:grpSpPr>
                          <wps:wsp>
                            <wps:cNvPr id="1005147506" name="箭头: 下 13"/>
                            <wps:cNvSpPr/>
                            <wps:spPr>
                              <a:xfrm>
                                <a:off x="1321141" y="14068"/>
                                <a:ext cx="114300" cy="266700"/>
                              </a:xfrm>
                              <a:prstGeom prst="downArrow">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27786357" name="箭头: 下 21"/>
                            <wps:cNvSpPr/>
                            <wps:spPr>
                              <a:xfrm rot="20284507">
                                <a:off x="0" y="16559"/>
                                <a:ext cx="114300" cy="266700"/>
                              </a:xfrm>
                              <a:prstGeom prst="downArrow">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85166538" name="箭头: 下 23"/>
                            <wps:cNvSpPr/>
                            <wps:spPr>
                              <a:xfrm rot="1463687">
                                <a:off x="2639401" y="4983"/>
                                <a:ext cx="114300" cy="266700"/>
                              </a:xfrm>
                              <a:prstGeom prst="downArrow">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86730295" name="箭头: 下 13"/>
                            <wps:cNvSpPr/>
                            <wps:spPr>
                              <a:xfrm>
                                <a:off x="4268323" y="0"/>
                                <a:ext cx="114300" cy="266700"/>
                              </a:xfrm>
                              <a:prstGeom prst="downArrow">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543878318" name="矩形: 圆角 543878318"/>
                          <wps:cNvSpPr/>
                          <wps:spPr>
                            <a:xfrm>
                              <a:off x="1723293" y="1877353"/>
                              <a:ext cx="2997200" cy="304800"/>
                            </a:xfrm>
                            <a:prstGeom prst="roundRect">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CD6240">
                                <w:pPr>
                                  <w:adjustRightInd w:val="0"/>
                                  <w:snapToGrid w:val="0"/>
                                  <w:spacing w:line="240" w:lineRule="atLeast"/>
                                  <w:jc w:val="center"/>
                                  <w:rPr>
                                    <w:rFonts w:hint="eastAsia" w:ascii="宋体" w:hAnsi="宋体" w:eastAsia="宋体"/>
                                    <w:color w:val="000000" w:themeColor="text1"/>
                                    <w:sz w:val="18"/>
                                    <w:szCs w:val="18"/>
                                    <w:lang w:val="en-US" w:eastAsia="zh-CN"/>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撰写相关编制说明，提交</w:t>
                                </w:r>
                                <w:r>
                                  <w:rPr>
                                    <w:rFonts w:hint="eastAsia" w:ascii="宋体" w:hAnsi="宋体"/>
                                    <w:color w:val="000000" w:themeColor="text1"/>
                                    <w:sz w:val="18"/>
                                    <w:szCs w:val="18"/>
                                    <w:lang w:val="en-US" w:eastAsia="zh-CN"/>
                                    <w14:textFill>
                                      <w14:solidFill>
                                        <w14:schemeClr w14:val="tx1"/>
                                      </w14:solidFill>
                                    </w14:textFill>
                                  </w:rPr>
                                  <w:t>现场测试</w:t>
                                </w:r>
                                <w:r>
                                  <w:rPr>
                                    <w:rFonts w:hint="eastAsia" w:ascii="宋体" w:hAnsi="宋体"/>
                                    <w:color w:val="000000" w:themeColor="text1"/>
                                    <w:sz w:val="18"/>
                                    <w:szCs w:val="18"/>
                                    <w14:textFill>
                                      <w14:solidFill>
                                        <w14:schemeClr w14:val="tx1"/>
                                      </w14:solidFill>
                                    </w14:textFill>
                                  </w:rPr>
                                  <w:t>技术</w:t>
                                </w:r>
                                <w:r>
                                  <w:rPr>
                                    <w:rFonts w:hint="eastAsia" w:ascii="宋体" w:hAnsi="宋体"/>
                                    <w:color w:val="000000" w:themeColor="text1"/>
                                    <w:sz w:val="18"/>
                                    <w:szCs w:val="18"/>
                                    <w:lang w:val="en-US" w:eastAsia="zh-CN"/>
                                    <w14:textFill>
                                      <w14:solidFill>
                                        <w14:schemeClr w14:val="tx1"/>
                                      </w14:solidFill>
                                    </w14:textFill>
                                  </w:rPr>
                                  <w:t>指南</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75750641" name="箭头: 下 21"/>
                          <wps:cNvSpPr/>
                          <wps:spPr>
                            <a:xfrm rot="20284507">
                              <a:off x="2458427" y="1524293"/>
                              <a:ext cx="114300" cy="266700"/>
                            </a:xfrm>
                            <a:prstGeom prst="downArrow">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39292963" name="箭头: 下 23"/>
                          <wps:cNvSpPr/>
                          <wps:spPr>
                            <a:xfrm rot="1463687">
                              <a:off x="4251423" y="1541633"/>
                              <a:ext cx="114300" cy="266700"/>
                            </a:xfrm>
                            <a:prstGeom prst="downArrow">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24487642" name="箭头: 下 13"/>
                          <wps:cNvSpPr/>
                          <wps:spPr>
                            <a:xfrm>
                              <a:off x="3177931" y="2314135"/>
                              <a:ext cx="114300" cy="266700"/>
                            </a:xfrm>
                            <a:prstGeom prst="downArrow">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30032625" name="矩形: 圆角 42"/>
                          <wps:cNvSpPr/>
                          <wps:spPr>
                            <a:xfrm>
                              <a:off x="2385158" y="2644726"/>
                              <a:ext cx="1695450" cy="298450"/>
                            </a:xfrm>
                            <a:prstGeom prst="roundRect">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686492">
                                <w:pPr>
                                  <w:adjustRightInd w:val="0"/>
                                  <w:snapToGrid w:val="0"/>
                                  <w:spacing w:line="240" w:lineRule="atLeast"/>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送审报批</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wgp>
                  </a:graphicData>
                </a:graphic>
              </wp:anchor>
            </w:drawing>
          </mc:Choice>
          <mc:Fallback>
            <w:pict>
              <v:group id="_x0000_s1026" o:spid="_x0000_s1026" o:spt="203" style="position:absolute;left:0pt;margin-left:-10.3pt;margin-top:4.55pt;height:432.25pt;width:441.95pt;z-index:251659264;mso-width-relative:page;mso-height-relative:page;" coordorigin="2245,57720" coordsize="8830,8958" o:gfxdata="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">
                <o:lock v:ext="edit" aspectratio="f"/>
                <v:group id="组合 32" o:spid="_x0000_s1026" o:spt="203" style="position:absolute;left:2323;top:57720;height:4297;width:8647;" coordsize="5490845,2728741" o:gfxdata="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CuplhCxQAAAOIAAAAPAAAAAAAAAAEAIAAAACIAAABkcnMvZG93&#10;bnJldi54bWxQSwECFAAUAAAACACHTuJAMy8FnjsAAAA5AAAAFQAAAAAAAAABACAAAAAUAQAAZHJz&#10;L2dyb3Vwc2hhcGV4bWwueG1sUEsFBgAAAAAGAAYAYAEAANEDAAAAAA==&#10;">
                  <o:lock v:ext="edit" aspectratio="f"/>
                  <v:roundrect id="矩形: 圆角 2074253808" o:spid="_x0000_s1026" o:spt="2" style="position:absolute;left:773040;top:0;height:450850;width:1447800;v-text-anchor:middle;" fillcolor="#FFFFFF [3212]" filled="t" stroked="t" coordsize="21600,21600" arcsize="0.166666666666667" o:gfxdata="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0DeCO&#10;wAAAAOMAAAAPAAAAAAAAAAEAIAAAACIAAABkcnMvZG93bnJldi54bWxQSwECFAAUAAAACACHTuJA&#10;My8FnjsAAAA5AAAAEAAAAAAAAAABACAAAAAPAQAAZHJzL3NoYXBleG1sLnhtbFBLBQYAAAAABgAG&#10;AFsBAAC5AwAAAAA=&#10;">
                    <v:fill on="t" focussize="0,0"/>
                    <v:stroke weight="1pt" color="#00B0F0 [3204]" miterlimit="8" joinstyle="miter"/>
                    <v:imagedata o:title=""/>
                    <o:lock v:ext="edit" aspectratio="f"/>
                    <v:textbox>
                      <w:txbxContent>
                        <w:p w14:paraId="3CE6E9E3">
                          <w:pPr>
                            <w:adjustRightInd w:val="0"/>
                            <w:snapToGrid w:val="0"/>
                            <w:spacing w:line="240" w:lineRule="atLeas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查阅相关文献，了解国内外V</w:t>
                          </w:r>
                          <w:r>
                            <w:rPr>
                              <w:rFonts w:ascii="宋体" w:hAnsi="宋体"/>
                              <w:color w:val="000000" w:themeColor="text1"/>
                              <w:sz w:val="18"/>
                              <w:szCs w:val="18"/>
                              <w14:textFill>
                                <w14:solidFill>
                                  <w14:schemeClr w14:val="tx1"/>
                                </w14:solidFill>
                              </w14:textFill>
                            </w:rPr>
                            <w:t>OC</w:t>
                          </w:r>
                          <w:r>
                            <w:rPr>
                              <w:rFonts w:hint="eastAsia" w:ascii="宋体" w:hAnsi="宋体"/>
                              <w:color w:val="000000" w:themeColor="text1"/>
                              <w:sz w:val="18"/>
                              <w:szCs w:val="18"/>
                              <w14:textFill>
                                <w14:solidFill>
                                  <w14:schemeClr w14:val="tx1"/>
                                </w14:solidFill>
                              </w14:textFill>
                            </w:rPr>
                            <w:t>监测现状</w:t>
                          </w:r>
                        </w:p>
                      </w:txbxContent>
                    </v:textbox>
                  </v:roundrect>
                  <v:shape id="箭头: 左右 835506318" o:spid="_x0000_s1026" o:spt="69" type="#_x0000_t69" style="position:absolute;left:2252687;top:226939;height:107950;width:647700;v-text-anchor:middle;" fillcolor="#FFFFFF [3212]" filled="t" stroked="t" coordsize="21600,21600" o:gfxdata="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Y1moy/&#10;AAAA4gAAAA8AAAAAAAAAAQAgAAAAIgAAAGRycy9kb3ducmV2LnhtbFBLAQIUABQAAAAIAIdO4kAz&#10;LwWeOwAAADkAAAAQAAAAAAAAAAEAIAAAAA4BAABkcnMvc2hhcGV4bWwueG1sUEsFBgAAAAAGAAYA&#10;WwEAALgDAAAAAA==&#10;" adj="1800,5400">
                    <v:fill on="t" focussize="0,0"/>
                    <v:stroke weight="1pt" color="#00B0F0 [3204]" miterlimit="8" joinstyle="miter"/>
                    <v:imagedata o:title=""/>
                    <o:lock v:ext="edit" aspectratio="f"/>
                  </v:shape>
                  <v:roundrect id="矩形: 圆角 1403888219" o:spid="_x0000_s1026" o:spt="2" style="position:absolute;left:2925397;top:21101;height:450850;width:1447800;v-text-anchor:middle;" fillcolor="#FFFFFF [3212]" filled="t" stroked="t" coordsize="21600,21600" arcsize="0.166666666666667" o:gfxdata="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ukZVh&#10;wAAAAOMAAAAPAAAAAAAAAAEAIAAAACIAAABkcnMvZG93bnJldi54bWxQSwECFAAUAAAACACHTuJA&#10;My8FnjsAAAA5AAAAEAAAAAAAAAABACAAAAAPAQAAZHJzL3NoYXBleG1sLnhtbFBLBQYAAAAABgAG&#10;AFsBAAC5AwAAAAA=&#10;">
                    <v:fill on="t" focussize="0,0"/>
                    <v:stroke weight="1pt" color="#00B0F0 [3204]" miterlimit="8" joinstyle="miter"/>
                    <v:imagedata o:title=""/>
                    <o:lock v:ext="edit" aspectratio="f"/>
                    <v:textbox>
                      <w:txbxContent>
                        <w:p w14:paraId="4320CBBB">
                          <w:pPr>
                            <w:adjustRightInd w:val="0"/>
                            <w:snapToGrid w:val="0"/>
                            <w:spacing w:line="240" w:lineRule="atLeas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监测方法解读、专家学者咨询相关信息</w:t>
                          </w:r>
                        </w:p>
                      </w:txbxContent>
                    </v:textbox>
                  </v:roundrect>
                  <v:shape id="箭头: 左弧形 1610748370" o:spid="_x0000_s1026" o:spt="102" type="#_x0000_t102" style="position:absolute;left:1539729;top:506437;height:476250;width:254000;v-text-anchor:middle;" fillcolor="#FFFFFF [3212]" filled="t" stroked="t" coordsize="21600,21600" o:gfxdata="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HxWK3bFAAAA4wAAAA8AAAAAAAAAAQAgAAAAIgAAAGRycy9kb3ducmV2LnhtbFBLAQIUABQAAAAI&#10;AIdO4kAzLwWeOwAAADkAAAAQAAAAAAAAAAEAIAAAABQBAABkcnMvc2hhcGV4bWwueG1sUEsFBgAA&#10;AAAGAAYAWwEAAL4DAAAAAA==&#10;" adj="15840,20160,16200">
                    <v:fill on="t" focussize="0,0"/>
                    <v:stroke weight="1pt" color="#00B0F0 [3204]" miterlimit="8" joinstyle="miter"/>
                    <v:imagedata o:title=""/>
                    <o:lock v:ext="edit" aspectratio="f"/>
                  </v:shape>
                  <v:shape id="箭头: 左弧形 4" o:spid="_x0000_s1026" o:spt="102" type="#_x0000_t102" style="position:absolute;left:1251341;top:1906172;height:476250;width:254000;v-text-anchor:middle;" fillcolor="#FFFFFF [3212]" filled="t" stroked="t" coordsize="21600,21600" o:gfxdata="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GdWoeMQAAADiAAAADwAAAAAAAAABACAAAAAiAAAAZHJzL2Rvd25yZXYueG1sUEsBAhQAFAAAAAgA&#10;h07iQDMvBZ47AAAAOQAAABAAAAAAAAAAAQAgAAAAEwEAAGRycy9zaGFwZXhtbC54bWxQSwUGAAAA&#10;AAYABgBbAQAAvQMAAAAA&#10;" adj="15840,20160,16200">
                    <v:fill on="t" focussize="0,0"/>
                    <v:stroke weight="1pt" color="#00B0F0 [3204]" miterlimit="8" joinstyle="miter"/>
                    <v:imagedata o:title=""/>
                    <o:lock v:ext="edit" aspectratio="f"/>
                  </v:shape>
                  <v:shape id="箭头: 右弧形 418366322" o:spid="_x0000_s1026" o:spt="103" type="#_x0000_t103" style="position:absolute;left:3441407;top:506437;height:476250;width:279400;v-text-anchor:middle;" fillcolor="#FFFFFF [3212]" filled="t" stroked="t" coordsize="21600,21600" o:gfxdata="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PRvKJzFAAAA4gAAAA8AAAAAAAAAAQAgAAAAIgAAAGRycy9kb3ducmV2LnhtbFBLAQIUABQAAAAI&#10;AIdO4kAzLwWeOwAAADkAAAAQAAAAAAAAAAEAIAAAABQBAABkcnMvc2hhcGV4bWwueG1sUEsFBgAA&#10;AAAGAAYAWwEAAL4DAAAAAA==&#10;" adj="15264,20016,5400">
                    <v:fill on="t" focussize="0,0"/>
                    <v:stroke weight="1pt" color="#00B0F0 [3204]" miterlimit="8" joinstyle="miter"/>
                    <v:imagedata o:title=""/>
                    <o:lock v:ext="edit" aspectratio="f"/>
                  </v:shape>
                  <v:shape id="箭头: 右弧形 5" o:spid="_x0000_s1026" o:spt="103" type="#_x0000_t103" style="position:absolute;left:3729795;top:1892104;height:476250;width:279400;v-text-anchor:middle;" fillcolor="#FFFFFF [3212]" filled="t" stroked="t" coordsize="21600,21600" o:gfxdata="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5&#10;TO58wwAAAOMAAAAPAAAAAAAAAAEAIAAAACIAAABkcnMvZG93bnJldi54bWxQSwECFAAUAAAACACH&#10;TuJAMy8FnjsAAAA5AAAAEAAAAAAAAAABACAAAAASAQAAZHJzL3NoYXBleG1sLnhtbFBLBQYAAAAA&#10;BgAGAFsBAAC8AwAAAAA=&#10;" adj="15264,20016,5400">
                    <v:fill on="t" focussize="0,0"/>
                    <v:stroke weight="1pt" color="#00B0F0 [3204]" miterlimit="8" joinstyle="miter"/>
                    <v:imagedata o:title=""/>
                    <o:lock v:ext="edit" aspectratio="f"/>
                  </v:shape>
                  <v:roundrect id="矩形: 圆角 1216312836" o:spid="_x0000_s1026" o:spt="2" style="position:absolute;left:1795840;top:711987;height:688956;width:1651209;v-text-anchor:middle;" fillcolor="#FFFFFF [3212]" filled="t" stroked="t" coordsize="21600,21600" arcsize="0.166666666666667" o:gfxdata="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3eq8Z&#10;wAAAAOMAAAAPAAAAAAAAAAEAIAAAACIAAABkcnMvZG93bnJldi54bWxQSwECFAAUAAAACACHTuJA&#10;My8FnjsAAAA5AAAAEAAAAAAAAAABACAAAAAPAQAAZHJzL3NoYXBleG1sLnhtbFBLBQYAAAAABgAG&#10;AFsBAAC5AwAAAAA=&#10;">
                    <v:fill on="t" focussize="0,0"/>
                    <v:stroke weight="1pt" color="#00B0F0 [3204]" miterlimit="8" joinstyle="miter"/>
                    <v:imagedata o:title=""/>
                    <o:lock v:ext="edit" aspectratio="f"/>
                    <v:textbox>
                      <w:txbxContent>
                        <w:p w14:paraId="7088BCAD">
                          <w:pPr>
                            <w:adjustRightInd w:val="0"/>
                            <w:snapToGrid w:val="0"/>
                            <w:spacing w:line="240" w:lineRule="atLeas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确定课题;固定污染源废气 总烃、甲烷和非甲烷总烃便携式仪器现场测试技术指南</w:t>
                          </w:r>
                        </w:p>
                      </w:txbxContent>
                    </v:textbox>
                  </v:roundrect>
                  <v:roundrect id="矩形: 圆角 1058986505" o:spid="_x0000_s1026" o:spt="2" style="position:absolute;left:322873;top:1568548;height:298450;width:1863725;v-text-anchor:middle;" fillcolor="#FFFFFF [3212]" filled="t" stroked="t" coordsize="21600,21600" arcsize="0.166666666666667" o:gfxdata="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FpoTu/&#10;AAAA4wAAAA8AAAAAAAAAAQAgAAAAIgAAAGRycy9kb3ducmV2LnhtbFBLAQIUABQAAAAIAIdO4kAz&#10;LwWeOwAAADkAAAAQAAAAAAAAAAEAIAAAAA4BAABkcnMvc2hhcGV4bWwueG1sUEsFBgAAAAAGAAYA&#10;WwEAALgDAAAAAA==&#10;">
                    <v:fill on="t" focussize="0,0"/>
                    <v:stroke weight="1pt" color="#00B0F0 [3204]" miterlimit="8" joinstyle="miter"/>
                    <v:imagedata o:title=""/>
                    <o:lock v:ext="edit" aspectratio="f"/>
                    <v:textbox>
                      <w:txbxContent>
                        <w:p w14:paraId="3079D52B">
                          <w:pPr>
                            <w:adjustRightInd w:val="0"/>
                            <w:snapToGrid w:val="0"/>
                            <w:spacing w:line="240" w:lineRule="atLeas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检索、查阅相关文献，梳理分类</w:t>
                          </w:r>
                        </w:p>
                      </w:txbxContent>
                    </v:textbox>
                  </v:roundrect>
                  <v:shape id="箭头: 丁字 1925556182" o:spid="_x0000_s1026" style="position:absolute;left:2379297;top:1606257;height:222250;width:609600;v-text-anchor:middle;" fillcolor="#FFFFFF [3212]" filled="t" stroked="t" coordsize="609600,222250" o:gfxdata="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ci&#10;TXDCAAAA4wAAAA8AAAAAAAAAAQAgAAAAIgAAAGRycy9kb3ducmV2LnhtbFBLAQIUABQAAAAIAIdO&#10;4kAzLwWeOwAAADkAAAAQAAAAAAAAAAEAIAAAABEBAABkcnMvc2hhcGV4bWwueG1sUEsFBgAAAAAG&#10;AAYAWwEAALsDAAAAAA==&#10;" path="m0,166687l55562,111125,55562,138906,277018,138906,277018,55562,249237,55562,304800,0,360362,55562,332581,55562,332581,138906,554037,138906,554037,111125,609600,166687,554037,222250,554037,194468,55562,194468,55562,222250xe">
                    <v:path o:connectlocs="304800,0;0,166687;304800,194468;609600,166687" o:connectangles="247,164,82,0"/>
                    <v:fill on="t" focussize="0,0"/>
                    <v:stroke weight="1pt" color="#00B0F0 [3204]" miterlimit="8" joinstyle="miter"/>
                    <v:imagedata o:title=""/>
                    <o:lock v:ext="edit" aspectratio="f"/>
                  </v:shape>
                  <v:roundrect id="矩形: 圆角 1303118834" o:spid="_x0000_s1026" o:spt="2" style="position:absolute;left:3108277;top:1582615;height:298450;width:1778000;v-text-anchor:middle;" fillcolor="#FFFFFF [3212]" filled="t" stroked="t" coordsize="21600,21600" arcsize="0.166666666666667" o:gfxdata="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DT2BC/&#10;AAAA4wAAAA8AAAAAAAAAAQAgAAAAIgAAAGRycy9kb3ducmV2LnhtbFBLAQIUABQAAAAIAIdO4kAz&#10;LwWeOwAAADkAAAAQAAAAAAAAAAEAIAAAAA4BAABkcnMvc2hhcGV4bWwueG1sUEsFBgAAAAAGAAYA&#10;WwEAALgDAAAAAA==&#10;">
                    <v:fill on="t" focussize="0,0"/>
                    <v:stroke weight="1pt" color="#00B0F0 [3204]" miterlimit="8" joinstyle="miter"/>
                    <v:imagedata o:title=""/>
                    <o:lock v:ext="edit" aspectratio="f"/>
                    <v:textbox>
                      <w:txbxContent>
                        <w:p w14:paraId="6E88702C">
                          <w:pPr>
                            <w:adjustRightInd w:val="0"/>
                            <w:snapToGrid w:val="0"/>
                            <w:spacing w:line="240" w:lineRule="atLeas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按行业实地考察、整理分析</w:t>
                          </w:r>
                        </w:p>
                      </w:txbxContent>
                    </v:textbox>
                  </v:roundrect>
                  <v:roundrect id="矩形: 圆角 2041759680" o:spid="_x0000_s1026" o:spt="2" style="position:absolute;left:0;top:2392191;height:336550;width:5490845;v-text-anchor:middle;" fillcolor="#FFFFFF [3212]" filled="t" stroked="t" coordsize="21600,21600" arcsize="0.166666666666667" o:gfxdata="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OL&#10;ec3CAAAA4wAAAA8AAAAAAAAAAQAgAAAAIgAAAGRycy9kb3ducmV2LnhtbFBLAQIUABQAAAAIAIdO&#10;4kAzLwWeOwAAADkAAAAQAAAAAAAAAAEAIAAAABEBAABkcnMvc2hhcGV4bWwueG1sUEsFBgAAAAAG&#10;AAYAWwEAALsDAAAAAA==&#10;">
                    <v:fill on="t" focussize="0,0"/>
                    <v:stroke weight="1pt" color="#00B0F0 [3204]" miterlimit="8" joinstyle="miter"/>
                    <v:imagedata o:title=""/>
                    <o:lock v:ext="edit" aspectratio="f"/>
                    <v:textbox>
                      <w:txbxContent>
                        <w:p w14:paraId="78F9A3A2">
                          <w:pPr>
                            <w:adjustRightInd w:val="0"/>
                            <w:snapToGrid w:val="0"/>
                            <w:spacing w:line="240" w:lineRule="atLeast"/>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制定具体研究计划</w:t>
                          </w:r>
                        </w:p>
                      </w:txbxContent>
                    </v:textbox>
                  </v:roundrect>
                </v:group>
                <v:group id="组合 33" o:spid="_x0000_s1026" o:spt="203" style="position:absolute;left:2245;top:62043;height:4635;width:8830;" coordsize="5607203,2943176" o:gfxdata="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CNp5PHBAAAA4gAAAA8AAAAAAAAAAQAgAAAAIgAAAGRycy9kb3ducmV2&#10;LnhtbFBLAQIUABQAAAAIAIdO4kAzLwWeOwAAADkAAAAVAAAAAAAAAAEAIAAAABABAABkcnMvZ3Jv&#10;dXBzaGFwZXhtbC54bWxQSwUGAAAAAAYABgBgAQAAzQMAAAAA&#10;">
                  <o:lock v:ext="edit" aspectratio="f"/>
                  <v:roundrect id="矩形: 圆角 17" o:spid="_x0000_s1026" o:spt="2" style="position:absolute;left:1357533;top:428380;height:298450;width:1262380;v-text-anchor:middle;" fillcolor="#FFFFFF [3212]" filled="t" stroked="t" coordsize="21600,21600" arcsize="0.166666666666667" o:gfxdata="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FQ1&#10;IO/CAAAA4gAAAA8AAAAAAAAAAQAgAAAAIgAAAGRycy9kb3ducmV2LnhtbFBLAQIUABQAAAAIAIdO&#10;4kAzLwWeOwAAADkAAAAQAAAAAAAAAAEAIAAAABEBAABkcnMvc2hhcGV4bWwueG1sUEsFBgAAAAAG&#10;AAYAWwEAALsDAAAAAA==&#10;">
                    <v:fill on="t" focussize="0,0"/>
                    <v:stroke weight="1pt" color="#00B0F0 [3204]" miterlimit="8" joinstyle="miter"/>
                    <v:imagedata o:title=""/>
                    <o:lock v:ext="edit" aspectratio="f"/>
                    <v:textbox>
                      <w:txbxContent>
                        <w:p w14:paraId="4CD2332E">
                          <w:pPr>
                            <w:adjustRightInd w:val="0"/>
                            <w:snapToGrid w:val="0"/>
                            <w:spacing w:line="240" w:lineRule="atLeast"/>
                            <w:ind w:firstLine="180" w:firstLineChars="10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现有分析方法研究</w:t>
                          </w:r>
                        </w:p>
                      </w:txbxContent>
                    </v:textbox>
                  </v:roundrect>
                  <v:roundrect id="矩形: 圆角 17" o:spid="_x0000_s1026" o:spt="2" style="position:absolute;left:2764302;top:414313;height:298450;width:1434465;v-text-anchor:middle;" fillcolor="#FFFFFF [3212]" filled="t" stroked="t" coordsize="21600,21600" arcsize="0.166666666666667" o:gfxdata="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1j&#10;6lbCAAAA4gAAAA8AAAAAAAAAAQAgAAAAIgAAAGRycy9kb3ducmV2LnhtbFBLAQIUABQAAAAIAIdO&#10;4kAzLwWeOwAAADkAAAAQAAAAAAAAAAEAIAAAABEBAABkcnMvc2hhcGV4bWwueG1sUEsFBgAAAAAG&#10;AAYAWwEAALsDAAAAAA==&#10;">
                    <v:fill on="t" focussize="0,0"/>
                    <v:stroke weight="1pt" color="#00B0F0 [3204]" miterlimit="8" joinstyle="miter"/>
                    <v:imagedata o:title=""/>
                    <o:lock v:ext="edit" aspectratio="f"/>
                    <v:textbox>
                      <w:txbxContent>
                        <w:p w14:paraId="2205C47B">
                          <w:pPr>
                            <w:adjustRightInd w:val="0"/>
                            <w:snapToGrid w:val="0"/>
                            <w:spacing w:line="240" w:lineRule="atLeas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国外主要</w:t>
                          </w:r>
                          <w:r>
                            <w:rPr>
                              <w:rFonts w:hint="eastAsia" w:ascii="宋体" w:hAnsi="宋体"/>
                              <w:color w:val="000000" w:themeColor="text1"/>
                              <w:sz w:val="18"/>
                              <w:szCs w:val="18"/>
                              <w:lang w:val="en-US" w:eastAsia="zh-CN"/>
                              <w14:textFill>
                                <w14:solidFill>
                                  <w14:schemeClr w14:val="tx1"/>
                                </w14:solidFill>
                              </w14:textFill>
                            </w:rPr>
                            <w:t>技术指南</w:t>
                          </w:r>
                          <w:r>
                            <w:rPr>
                              <w:rFonts w:hint="eastAsia" w:ascii="宋体" w:hAnsi="宋体"/>
                              <w:color w:val="000000" w:themeColor="text1"/>
                              <w:sz w:val="18"/>
                              <w:szCs w:val="18"/>
                              <w14:textFill>
                                <w14:solidFill>
                                  <w14:schemeClr w14:val="tx1"/>
                                </w14:solidFill>
                              </w14:textFill>
                            </w:rPr>
                            <w:t>分析</w:t>
                          </w:r>
                        </w:p>
                      </w:txbxContent>
                    </v:textbox>
                  </v:roundrect>
                  <v:roundrect id="矩形: 圆角 17" o:spid="_x0000_s1026" o:spt="2" style="position:absolute;left:4375736;top:414997;height:298450;width:1187450;v-text-anchor:middle;" fillcolor="#FFFFFF [3212]" filled="t" stroked="t" coordsize="21600,21600" arcsize="0.166666666666667" o:gfxdata="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ZL&#10;szDCAAAA4gAAAA8AAAAAAAAAAQAgAAAAIgAAAGRycy9kb3ducmV2LnhtbFBLAQIUABQAAAAIAIdO&#10;4kAzLwWeOwAAADkAAAAQAAAAAAAAAAEAIAAAABEBAABkcnMvc2hhcGV4bWwueG1sUEsFBgAAAAAG&#10;AAYAWwEAALsDAAAAAA==&#10;">
                    <v:fill on="t" focussize="0,0"/>
                    <v:stroke weight="1pt" color="#00B0F0 [3204]" miterlimit="8" joinstyle="miter"/>
                    <v:imagedata o:title=""/>
                    <o:lock v:ext="edit" aspectratio="f"/>
                    <v:textbox>
                      <w:txbxContent>
                        <w:p w14:paraId="4C7BBF31">
                          <w:pPr>
                            <w:adjustRightInd w:val="0"/>
                            <w:snapToGrid w:val="0"/>
                            <w:spacing w:line="240" w:lineRule="atLeas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本省监测现状研究</w:t>
                          </w:r>
                        </w:p>
                      </w:txbxContent>
                    </v:textbox>
                  </v:roundrect>
                  <v:roundrect id="矩形: 圆角 1782158346" o:spid="_x0000_s1026" o:spt="2" style="position:absolute;left:35169;top:435414;height:298450;width:1187450;v-text-anchor:middle;" fillcolor="#FFFFFF [3212]" filled="t" stroked="t" coordsize="21600,21600" arcsize="0.166666666666667" o:gfxdata="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QfIey&#10;wAAAAOMAAAAPAAAAAAAAAAEAIAAAACIAAABkcnMvZG93bnJldi54bWxQSwECFAAUAAAACACHTuJA&#10;My8FnjsAAAA5AAAAEAAAAAAAAAABACAAAAAPAQAAZHJzL3NoYXBleG1sLnhtbFBLBQYAAAAABgAG&#10;AFsBAAC5AwAAAAA=&#10;">
                    <v:fill on="t" focussize="0,0"/>
                    <v:stroke weight="1pt" color="#00B0F0 [3204]" miterlimit="8" joinstyle="miter"/>
                    <v:imagedata o:title=""/>
                    <o:lock v:ext="edit" aspectratio="f"/>
                    <v:textbox>
                      <w:txbxContent>
                        <w:p w14:paraId="5648D3FD">
                          <w:pPr>
                            <w:adjustRightInd w:val="0"/>
                            <w:snapToGrid w:val="0"/>
                            <w:spacing w:line="240" w:lineRule="atLeas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现有</w:t>
                          </w:r>
                          <w:r>
                            <w:rPr>
                              <w:rFonts w:hint="eastAsia" w:ascii="宋体" w:hAnsi="宋体"/>
                              <w:color w:val="000000" w:themeColor="text1"/>
                              <w:sz w:val="18"/>
                              <w:szCs w:val="18"/>
                              <w:lang w:val="en-US" w:eastAsia="zh-CN"/>
                              <w14:textFill>
                                <w14:solidFill>
                                  <w14:schemeClr w14:val="tx1"/>
                                </w14:solidFill>
                              </w14:textFill>
                            </w:rPr>
                            <w:t>技术指南</w:t>
                          </w:r>
                          <w:r>
                            <w:rPr>
                              <w:rFonts w:hint="eastAsia" w:ascii="宋体" w:hAnsi="宋体"/>
                              <w:color w:val="000000" w:themeColor="text1"/>
                              <w:sz w:val="18"/>
                              <w:szCs w:val="18"/>
                              <w14:textFill>
                                <w14:solidFill>
                                  <w14:schemeClr w14:val="tx1"/>
                                </w14:solidFill>
                              </w14:textFill>
                            </w:rPr>
                            <w:t>研究</w:t>
                          </w:r>
                        </w:p>
                      </w:txbxContent>
                    </v:textbox>
                  </v:roundrect>
                  <v:roundrect id="矩形: 圆角 25" o:spid="_x0000_s1026" o:spt="2" style="position:absolute;left:0;top:1159900;height:298450;width:3733800;v-text-anchor:middle;" fillcolor="#FFFFFF [3212]" filled="t" stroked="t" coordsize="21600,21600" arcsize="0.166666666666667" o:gfxdata="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S&#10;fovMwwAAAOIAAAAPAAAAAAAAAAEAIAAAACIAAABkcnMvZG93bnJldi54bWxQSwECFAAUAAAACACH&#10;TuJAMy8FnjsAAAA5AAAAEAAAAAAAAAABACAAAAASAQAAZHJzL3NoYXBleG1sLnhtbFBLBQYAAAAA&#10;BgAGAFsBAAC8AwAAAAA=&#10;">
                    <v:fill on="t" focussize="0,0"/>
                    <v:stroke weight="1pt" color="#00B0F0 [3204]" miterlimit="8" joinstyle="miter"/>
                    <v:imagedata o:title=""/>
                    <o:lock v:ext="edit" aspectratio="f"/>
                    <v:textbox>
                      <w:txbxContent>
                        <w:p w14:paraId="12809758">
                          <w:pPr>
                            <w:adjustRightInd w:val="0"/>
                            <w:snapToGrid w:val="0"/>
                            <w:spacing w:line="240" w:lineRule="atLeast"/>
                            <w:rPr>
                              <w:rFonts w:hint="default" w:ascii="宋体" w:hAnsi="宋体" w:eastAsia="宋体"/>
                              <w:color w:val="000000" w:themeColor="text1"/>
                              <w:sz w:val="18"/>
                              <w:szCs w:val="18"/>
                              <w:lang w:val="en-US" w:eastAsia="zh-CN"/>
                              <w14:textFill>
                                <w14:solidFill>
                                  <w14:schemeClr w14:val="tx1"/>
                                </w14:solidFill>
                              </w14:textFill>
                            </w:rPr>
                          </w:pPr>
                          <w:r>
                            <w:rPr>
                              <w:rFonts w:hint="eastAsia" w:ascii="宋体" w:hAnsi="宋体"/>
                              <w:color w:val="000000" w:themeColor="text1"/>
                              <w:sz w:val="18"/>
                              <w:szCs w:val="18"/>
                              <w14:textFill>
                                <w14:solidFill>
                                  <w14:schemeClr w14:val="tx1"/>
                                </w14:solidFill>
                              </w14:textFill>
                            </w:rPr>
                            <w:t>通过对比研究，吸收国外监测技术，编写适合国内的</w:t>
                          </w:r>
                          <w:r>
                            <w:rPr>
                              <w:rFonts w:hint="eastAsia" w:ascii="宋体" w:hAnsi="宋体"/>
                              <w:color w:val="000000" w:themeColor="text1"/>
                              <w:sz w:val="18"/>
                              <w:szCs w:val="18"/>
                              <w:lang w:val="en-US" w:eastAsia="zh-CN"/>
                              <w14:textFill>
                                <w14:solidFill>
                                  <w14:schemeClr w14:val="tx1"/>
                                </w14:solidFill>
                              </w14:textFill>
                            </w:rPr>
                            <w:t>现场测试技术指南</w:t>
                          </w:r>
                        </w:p>
                      </w:txbxContent>
                    </v:textbox>
                  </v:roundrect>
                  <v:roundrect id="矩形: 圆角 26" o:spid="_x0000_s1026" o:spt="2" style="position:absolute;left:3862049;top:1174499;height:282274;width:1745154;v-text-anchor:middle;" fillcolor="#FFFFFF [3212]" filled="t" stroked="t" coordsize="21600,21600" arcsize="0.166666666666667" o:gfxdata="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Abucy&#10;wAAAAOMAAAAPAAAAAAAAAAEAIAAAACIAAABkcnMvZG93bnJldi54bWxQSwECFAAUAAAACACHTuJA&#10;My8FnjsAAAA5AAAAEAAAAAAAAAABACAAAAAPAQAAZHJzL3NoYXBleG1sLnhtbFBLBQYAAAAABgAG&#10;AFsBAAC5AwAAAAA=&#10;">
                    <v:fill on="t" focussize="0,0"/>
                    <v:stroke weight="1pt" color="#00B0F0 [3204]" miterlimit="8" joinstyle="miter"/>
                    <v:imagedata o:title=""/>
                    <o:lock v:ext="edit" aspectratio="f"/>
                    <v:textbox>
                      <w:txbxContent>
                        <w:p w14:paraId="1E50C385">
                          <w:pPr>
                            <w:adjustRightInd w:val="0"/>
                            <w:snapToGrid w:val="0"/>
                            <w:spacing w:line="240" w:lineRule="atLeas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本省总烃</w:t>
                          </w:r>
                          <w:r>
                            <w:rPr>
                              <w:rFonts w:hint="eastAsia" w:ascii="宋体" w:hAnsi="宋体"/>
                              <w:color w:val="000000" w:themeColor="text1"/>
                              <w:sz w:val="18"/>
                              <w:szCs w:val="18"/>
                              <w:lang w:val="en-US" w:eastAsia="zh-CN"/>
                              <w14:textFill>
                                <w14:solidFill>
                                  <w14:schemeClr w14:val="tx1"/>
                                </w14:solidFill>
                              </w14:textFill>
                            </w:rPr>
                            <w:t>等</w:t>
                          </w:r>
                          <w:r>
                            <w:rPr>
                              <w:rFonts w:hint="eastAsia" w:ascii="宋体" w:hAnsi="宋体"/>
                              <w:color w:val="000000" w:themeColor="text1"/>
                              <w:sz w:val="18"/>
                              <w:szCs w:val="18"/>
                              <w14:textFill>
                                <w14:solidFill>
                                  <w14:schemeClr w14:val="tx1"/>
                                </w14:solidFill>
                              </w14:textFill>
                            </w:rPr>
                            <w:t>监测中存在的问题</w:t>
                          </w:r>
                        </w:p>
                      </w:txbxContent>
                    </v:textbox>
                  </v:roundrect>
                  <v:group id="组合 33" o:spid="_x0000_s1026" o:spt="203" style="position:absolute;left:561340;top:0;height:330004;width:4447149;" coordsize="4447149,330004" o:gfxdata="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Dl4w2WxQAAAOMAAAAPAAAAAAAAAAEAIAAAACIAAABkcnMvZG93&#10;bnJldi54bWxQSwECFAAUAAAACACHTuJAMy8FnjsAAAA5AAAAFQAAAAAAAAABACAAAAAUAQAAZHJz&#10;L2dyb3Vwc2hhcGV4bWwueG1sUEsFBgAAAAAGAAYAYAEAANEDAAAAAA==&#10;">
                    <o:lock v:ext="edit" aspectratio="f"/>
                    <v:shape id="箭头: 下 13" o:spid="_x0000_s1026" o:spt="67" type="#_x0000_t67" style="position:absolute;left:2750234;top:63304;height:266700;width:114300;v-text-anchor:middle;" fillcolor="#FFFFFF [3212]" filled="t" stroked="t" coordsize="21600,21600" o:gfxdata="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YbPt74A&#10;AADjAAAADwAAAAAAAAABACAAAAAiAAAAZHJzL2Rvd25yZXYueG1sUEsBAhQAFAAAAAgAh07iQDMv&#10;BZ47AAAAOQAAABAAAAAAAAAAAQAgAAAADQEAAGRycy9zaGFwZXhtbC54bWxQSwUGAAAAAAYABgBb&#10;AQAAtwMAAAAA&#10;" adj="16972,5400">
                      <v:fill on="t" focussize="0,0"/>
                      <v:stroke weight="1pt" color="#00B0F0 [3204]" miterlimit="8" joinstyle="miter"/>
                      <v:imagedata o:title=""/>
                      <o:lock v:ext="edit" aspectratio="f"/>
                    </v:shape>
                    <v:shape id="箭头: 下 13" o:spid="_x0000_s1026" o:spt="67" type="#_x0000_t67" style="position:absolute;left:4332849;top:0;height:266700;width:114300;v-text-anchor:middle;" fillcolor="#FFFFFF [3212]" filled="t" stroked="t" coordsize="21600,21600" o:gfxdata="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KtBvq&#10;wAAAAOEAAAAPAAAAAAAAAAEAIAAAACIAAABkcnMvZG93bnJldi54bWxQSwECFAAUAAAACACHTuJA&#10;My8FnjsAAAA5AAAAEAAAAAAAAAABACAAAAAPAQAAZHJzL3NoYXBleG1sLnhtbFBLBQYAAAAABgAG&#10;AFsBAAC5AwAAAAA=&#10;" adj="16972,5400">
                      <v:fill on="t" focussize="0,0"/>
                      <v:stroke weight="1pt" color="#00B0F0 [3204]" miterlimit="8" joinstyle="miter"/>
                      <v:imagedata o:title=""/>
                      <o:lock v:ext="edit" aspectratio="f"/>
                    </v:shape>
                    <v:shape id="箭头: 下 1467902167" o:spid="_x0000_s1026" o:spt="67" type="#_x0000_t67" style="position:absolute;left:0;top:49236;height:266700;width:114300;v-text-anchor:middle;" fillcolor="#FFFFFF [3212]" filled="t" stroked="t" coordsize="21600,21600" o:gfxdata="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5DTIvQAA&#10;AOMAAAAPAAAAAAAAAAEAIAAAACIAAABkcnMvZG93bnJldi54bWxQSwECFAAUAAAACACHTuJAMy8F&#10;njsAAAA5AAAAEAAAAAAAAAABACAAAAAMAQAAZHJzL3NoYXBleG1sLnhtbFBLBQYAAAAABgAGAFsB&#10;AAC2AwAAAAA=&#10;" adj="16972,5400">
                      <v:fill on="t" focussize="0,0"/>
                      <v:stroke weight="1pt" color="#00B0F0 [3204]" miterlimit="8" joinstyle="miter"/>
                      <v:imagedata o:title=""/>
                      <o:lock v:ext="edit" aspectratio="f"/>
                    </v:shape>
                    <v:shape id="箭头: 下 13" o:spid="_x0000_s1026" o:spt="67" type="#_x0000_t67" style="position:absolute;left:1427870;top:56270;height:266700;width:114300;v-text-anchor:middle;" fillcolor="#FFFFFF [3212]" filled="t" stroked="t" coordsize="21600,21600" o:gfxdata="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GQzH8&#10;wAAAAOIAAAAPAAAAAAAAAAEAIAAAACIAAABkcnMvZG93bnJldi54bWxQSwECFAAUAAAACACHTuJA&#10;My8FnjsAAAA5AAAAEAAAAAAAAAABACAAAAAPAQAAZHJzL3NoYXBleG1sLnhtbFBLBQYAAAAABgAG&#10;AFsBAAC5AwAAAAA=&#10;" adj="16972,5400">
                      <v:fill on="t" focussize="0,0"/>
                      <v:stroke weight="1pt" color="#00B0F0 [3204]" miterlimit="8" joinstyle="miter"/>
                      <v:imagedata o:title=""/>
                      <o:lock v:ext="edit" aspectratio="f"/>
                    </v:shape>
                  </v:group>
                  <v:group id="组合 32" o:spid="_x0000_s1026" o:spt="203" style="position:absolute;left:735135;top:785739;height:283259;width:4382623;" coordsize="4382623,283259" o:gfxdata="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DxrB9+xQAAAOMAAAAPAAAAAAAAAAEAIAAAACIAAABkcnMvZG93&#10;bnJldi54bWxQSwECFAAUAAAACACHTuJAMy8FnjsAAAA5AAAAFQAAAAAAAAABACAAAAAUAQAAZHJz&#10;L2dyb3Vwc2hhcGV4bWwueG1sUEsFBgAAAAAGAAYAYAEAANEDAAAAAA==&#10;">
                    <o:lock v:ext="edit" aspectratio="f"/>
                    <v:shape id="箭头: 下 13" o:spid="_x0000_s1026" o:spt="67" type="#_x0000_t67" style="position:absolute;left:1321141;top:14068;height:266700;width:114300;v-text-anchor:middle;" fillcolor="#FFFFFF [3212]" filled="t" stroked="t" coordsize="21600,21600" o:gfxdata="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zps9vQAA&#10;AOMAAAAPAAAAAAAAAAEAIAAAACIAAABkcnMvZG93bnJldi54bWxQSwECFAAUAAAACACHTuJAMy8F&#10;njsAAAA5AAAAEAAAAAAAAAABACAAAAAMAQAAZHJzL3NoYXBleG1sLnhtbFBLBQYAAAAABgAGAFsB&#10;AAC2AwAAAAA=&#10;" adj="16972,5400">
                      <v:fill on="t" focussize="0,0"/>
                      <v:stroke weight="1pt" color="#00B0F0 [3204]" miterlimit="8" joinstyle="miter"/>
                      <v:imagedata o:title=""/>
                      <o:lock v:ext="edit" aspectratio="f"/>
                    </v:shape>
                    <v:shape id="箭头: 下 21" o:spid="_x0000_s1026" o:spt="67" type="#_x0000_t67" style="position:absolute;left:0;top:16559;height:266700;width:114300;rotation:-1436869f;v-text-anchor:middle;" fillcolor="#FFFFFF [3212]" filled="t" stroked="t" coordsize="21600,21600" o:gfxdata="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Kjs2WXFAAAA4gAAAA8AAAAAAAAAAQAgAAAAIgAAAGRycy9kb3ducmV2LnhtbFBLAQIUABQAAAAI&#10;AIdO4kAzLwWeOwAAADkAAAAQAAAAAAAAAAEAIAAAABQBAABkcnMvc2hhcGV4bWwueG1sUEsFBgAA&#10;AAAGAAYAWwEAAL4DAAAAAA==&#10;" adj="16972,5400">
                      <v:fill on="t" focussize="0,0"/>
                      <v:stroke weight="1pt" color="#00B0F0 [3204]" miterlimit="8" joinstyle="miter"/>
                      <v:imagedata o:title=""/>
                      <o:lock v:ext="edit" aspectratio="f"/>
                    </v:shape>
                    <v:shape id="箭头: 下 23" o:spid="_x0000_s1026" o:spt="67" type="#_x0000_t67" style="position:absolute;left:2639401;top:4983;height:266700;width:114300;rotation:1598737f;v-text-anchor:middle;" fillcolor="#FFFFFF [3212]" filled="t" stroked="t" coordsize="21600,21600" o:gfxdata="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Ej20M3FAAAA4wAAAA8AAAAAAAAAAQAgAAAAIgAAAGRycy9kb3ducmV2LnhtbFBLAQIUABQAAAAI&#10;AIdO4kAzLwWeOwAAADkAAAAQAAAAAAAAAAEAIAAAABQBAABkcnMvc2hhcGV4bWwueG1sUEsFBgAA&#10;AAAGAAYAWwEAAL4DAAAAAA==&#10;" adj="16972,5400">
                      <v:fill on="t" focussize="0,0"/>
                      <v:stroke weight="1pt" color="#00B0F0 [3204]" miterlimit="8" joinstyle="miter"/>
                      <v:imagedata o:title=""/>
                      <o:lock v:ext="edit" aspectratio="f"/>
                    </v:shape>
                    <v:shape id="箭头: 下 13" o:spid="_x0000_s1026" o:spt="67" type="#_x0000_t67" style="position:absolute;left:4268323;top:0;height:266700;width:114300;v-text-anchor:middle;" fillcolor="#FFFFFF [3212]" filled="t" stroked="t" coordsize="21600,21600" o:gfxdata="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gfR774A&#10;AADjAAAADwAAAAAAAAABACAAAAAiAAAAZHJzL2Rvd25yZXYueG1sUEsBAhQAFAAAAAgAh07iQDMv&#10;BZ47AAAAOQAAABAAAAAAAAAAAQAgAAAADQEAAGRycy9zaGFwZXhtbC54bWxQSwUGAAAAAAYABgBb&#10;AQAAtwMAAAAA&#10;" adj="16972,5400">
                      <v:fill on="t" focussize="0,0"/>
                      <v:stroke weight="1pt" color="#00B0F0 [3204]" miterlimit="8" joinstyle="miter"/>
                      <v:imagedata o:title=""/>
                      <o:lock v:ext="edit" aspectratio="f"/>
                    </v:shape>
                  </v:group>
                  <v:roundrect id="矩形: 圆角 543878318" o:spid="_x0000_s1026" o:spt="2" style="position:absolute;left:1723293;top:1877353;height:304800;width:2997200;v-text-anchor:middle;" fillcolor="#FFFFFF [3212]" filled="t" stroked="t" coordsize="21600,21600" arcsize="0.166666666666667" o:gfxdata="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kWR9G&#10;wAAAAOIAAAAPAAAAAAAAAAEAIAAAACIAAABkcnMvZG93bnJldi54bWxQSwECFAAUAAAACACHTuJA&#10;My8FnjsAAAA5AAAAEAAAAAAAAAABACAAAAAPAQAAZHJzL3NoYXBleG1sLnhtbFBLBQYAAAAABgAG&#10;AFsBAAC5AwAAAAA=&#10;">
                    <v:fill on="t" focussize="0,0"/>
                    <v:stroke weight="1pt" color="#00B0F0 [3204]" miterlimit="8" joinstyle="miter"/>
                    <v:imagedata o:title=""/>
                    <o:lock v:ext="edit" aspectratio="f"/>
                    <v:textbox>
                      <w:txbxContent>
                        <w:p w14:paraId="67CD6240">
                          <w:pPr>
                            <w:adjustRightInd w:val="0"/>
                            <w:snapToGrid w:val="0"/>
                            <w:spacing w:line="240" w:lineRule="atLeast"/>
                            <w:jc w:val="center"/>
                            <w:rPr>
                              <w:rFonts w:hint="eastAsia" w:ascii="宋体" w:hAnsi="宋体" w:eastAsia="宋体"/>
                              <w:color w:val="000000" w:themeColor="text1"/>
                              <w:sz w:val="18"/>
                              <w:szCs w:val="18"/>
                              <w:lang w:val="en-US" w:eastAsia="zh-CN"/>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撰写相关编制说明，提交</w:t>
                          </w:r>
                          <w:r>
                            <w:rPr>
                              <w:rFonts w:hint="eastAsia" w:ascii="宋体" w:hAnsi="宋体"/>
                              <w:color w:val="000000" w:themeColor="text1"/>
                              <w:sz w:val="18"/>
                              <w:szCs w:val="18"/>
                              <w:lang w:val="en-US" w:eastAsia="zh-CN"/>
                              <w14:textFill>
                                <w14:solidFill>
                                  <w14:schemeClr w14:val="tx1"/>
                                </w14:solidFill>
                              </w14:textFill>
                            </w:rPr>
                            <w:t>现场测试</w:t>
                          </w:r>
                          <w:r>
                            <w:rPr>
                              <w:rFonts w:hint="eastAsia" w:ascii="宋体" w:hAnsi="宋体"/>
                              <w:color w:val="000000" w:themeColor="text1"/>
                              <w:sz w:val="18"/>
                              <w:szCs w:val="18"/>
                              <w14:textFill>
                                <w14:solidFill>
                                  <w14:schemeClr w14:val="tx1"/>
                                </w14:solidFill>
                              </w14:textFill>
                            </w:rPr>
                            <w:t>技术</w:t>
                          </w:r>
                          <w:r>
                            <w:rPr>
                              <w:rFonts w:hint="eastAsia" w:ascii="宋体" w:hAnsi="宋体"/>
                              <w:color w:val="000000" w:themeColor="text1"/>
                              <w:sz w:val="18"/>
                              <w:szCs w:val="18"/>
                              <w:lang w:val="en-US" w:eastAsia="zh-CN"/>
                              <w14:textFill>
                                <w14:solidFill>
                                  <w14:schemeClr w14:val="tx1"/>
                                </w14:solidFill>
                              </w14:textFill>
                            </w:rPr>
                            <w:t>指南</w:t>
                          </w:r>
                        </w:p>
                      </w:txbxContent>
                    </v:textbox>
                  </v:roundrect>
                  <v:shape id="箭头: 下 21" o:spid="_x0000_s1026" o:spt="67" type="#_x0000_t67" style="position:absolute;left:2458427;top:1524293;height:266700;width:114300;rotation:-1436869f;v-text-anchor:middle;" fillcolor="#FFFFFF [3212]" filled="t" stroked="t" coordsize="21600,21600" o:gfxdata="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Fx&#10;oInCAAAA4wAAAA8AAAAAAAAAAQAgAAAAIgAAAGRycy9kb3ducmV2LnhtbFBLAQIUABQAAAAIAIdO&#10;4kAzLwWeOwAAADkAAAAQAAAAAAAAAAEAIAAAABEBAABkcnMvc2hhcGV4bWwueG1sUEsFBgAAAAAG&#10;AAYAWwEAALsDAAAAAA==&#10;" adj="16972,5400">
                    <v:fill on="t" focussize="0,0"/>
                    <v:stroke weight="1pt" color="#00B0F0 [3204]" miterlimit="8" joinstyle="miter"/>
                    <v:imagedata o:title=""/>
                    <o:lock v:ext="edit" aspectratio="f"/>
                  </v:shape>
                  <v:shape id="箭头: 下 23" o:spid="_x0000_s1026" o:spt="67" type="#_x0000_t67" style="position:absolute;left:4251423;top:1541633;height:266700;width:114300;rotation:1598737f;v-text-anchor:middle;" fillcolor="#FFFFFF [3212]" filled="t" stroked="t" coordsize="21600,21600" o:gfxdata="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HVQ&#10;VmDCAAAA4gAAAA8AAAAAAAAAAQAgAAAAIgAAAGRycy9kb3ducmV2LnhtbFBLAQIUABQAAAAIAIdO&#10;4kAzLwWeOwAAADkAAAAQAAAAAAAAAAEAIAAAABEBAABkcnMvc2hhcGV4bWwueG1sUEsFBgAAAAAG&#10;AAYAWwEAALsDAAAAAA==&#10;" adj="16972,5400">
                    <v:fill on="t" focussize="0,0"/>
                    <v:stroke weight="1pt" color="#00B0F0 [3204]" miterlimit="8" joinstyle="miter"/>
                    <v:imagedata o:title=""/>
                    <o:lock v:ext="edit" aspectratio="f"/>
                  </v:shape>
                  <v:shape id="箭头: 下 13" o:spid="_x0000_s1026" o:spt="67" type="#_x0000_t67" style="position:absolute;left:3177931;top:2314135;height:266700;width:114300;v-text-anchor:middle;" fillcolor="#FFFFFF [3212]" filled="t" stroked="t" coordsize="21600,21600" o:gfxdata="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HiG5b4A&#10;AADjAAAADwAAAAAAAAABACAAAAAiAAAAZHJzL2Rvd25yZXYueG1sUEsBAhQAFAAAAAgAh07iQDMv&#10;BZ47AAAAOQAAABAAAAAAAAAAAQAgAAAADQEAAGRycy9zaGFwZXhtbC54bWxQSwUGAAAAAAYABgBb&#10;AQAAtwMAAAAA&#10;" adj="16972,5400">
                    <v:fill on="t" focussize="0,0"/>
                    <v:stroke weight="1pt" color="#00B0F0 [3204]" miterlimit="8" joinstyle="miter"/>
                    <v:imagedata o:title=""/>
                    <o:lock v:ext="edit" aspectratio="f"/>
                  </v:shape>
                  <v:roundrect id="矩形: 圆角 42" o:spid="_x0000_s1026" o:spt="2" style="position:absolute;left:2385158;top:2644726;height:298450;width:1695450;v-text-anchor:middle;" fillcolor="#FFFFFF [3212]" filled="t" stroked="t" coordsize="21600,21600" arcsize="0.166666666666667" o:gfxdata="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4U&#10;HmfCAAAA4wAAAA8AAAAAAAAAAQAgAAAAIgAAAGRycy9kb3ducmV2LnhtbFBLAQIUABQAAAAIAIdO&#10;4kAzLwWeOwAAADkAAAAQAAAAAAAAAAEAIAAAABEBAABkcnMvc2hhcGV4bWwueG1sUEsFBgAAAAAG&#10;AAYAWwEAALsDAAAAAA==&#10;">
                    <v:fill on="t" focussize="0,0"/>
                    <v:stroke weight="1pt" color="#00B0F0 [3204]" miterlimit="8" joinstyle="miter"/>
                    <v:imagedata o:title=""/>
                    <o:lock v:ext="edit" aspectratio="f"/>
                    <v:textbox>
                      <w:txbxContent>
                        <w:p w14:paraId="7D686492">
                          <w:pPr>
                            <w:adjustRightInd w:val="0"/>
                            <w:snapToGrid w:val="0"/>
                            <w:spacing w:line="240" w:lineRule="atLeast"/>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送审报批</w:t>
                          </w:r>
                        </w:p>
                      </w:txbxContent>
                    </v:textbox>
                  </v:roundrect>
                </v:group>
              </v:group>
            </w:pict>
          </mc:Fallback>
        </mc:AlternateContent>
      </w:r>
    </w:p>
    <w:p w14:paraId="23427286">
      <w:pPr>
        <w:autoSpaceDE w:val="0"/>
        <w:autoSpaceDN w:val="0"/>
        <w:adjustRightInd w:val="0"/>
        <w:spacing w:line="360" w:lineRule="auto"/>
        <w:rPr>
          <w:kern w:val="0"/>
          <w:sz w:val="24"/>
          <w:szCs w:val="24"/>
        </w:rPr>
      </w:pPr>
    </w:p>
    <w:p w14:paraId="2BFF26B7">
      <w:pPr>
        <w:autoSpaceDE w:val="0"/>
        <w:autoSpaceDN w:val="0"/>
        <w:adjustRightInd w:val="0"/>
        <w:spacing w:line="360" w:lineRule="auto"/>
        <w:rPr>
          <w:kern w:val="0"/>
          <w:sz w:val="24"/>
          <w:szCs w:val="24"/>
        </w:rPr>
      </w:pPr>
    </w:p>
    <w:p w14:paraId="040F45D7">
      <w:pPr>
        <w:autoSpaceDE w:val="0"/>
        <w:autoSpaceDN w:val="0"/>
        <w:adjustRightInd w:val="0"/>
        <w:spacing w:line="360" w:lineRule="auto"/>
        <w:rPr>
          <w:kern w:val="0"/>
          <w:sz w:val="24"/>
          <w:szCs w:val="24"/>
        </w:rPr>
      </w:pPr>
    </w:p>
    <w:p w14:paraId="74DA9B1E">
      <w:pPr>
        <w:autoSpaceDE w:val="0"/>
        <w:autoSpaceDN w:val="0"/>
        <w:adjustRightInd w:val="0"/>
        <w:spacing w:line="360" w:lineRule="auto"/>
        <w:rPr>
          <w:kern w:val="0"/>
          <w:sz w:val="24"/>
          <w:szCs w:val="24"/>
        </w:rPr>
      </w:pPr>
    </w:p>
    <w:p w14:paraId="16C16884">
      <w:pPr>
        <w:autoSpaceDE w:val="0"/>
        <w:autoSpaceDN w:val="0"/>
        <w:adjustRightInd w:val="0"/>
        <w:spacing w:line="360" w:lineRule="auto"/>
        <w:rPr>
          <w:kern w:val="0"/>
          <w:sz w:val="24"/>
          <w:szCs w:val="24"/>
        </w:rPr>
      </w:pPr>
    </w:p>
    <w:p w14:paraId="74E21220">
      <w:pPr>
        <w:autoSpaceDE w:val="0"/>
        <w:autoSpaceDN w:val="0"/>
        <w:adjustRightInd w:val="0"/>
        <w:spacing w:line="360" w:lineRule="auto"/>
        <w:rPr>
          <w:kern w:val="0"/>
          <w:sz w:val="24"/>
          <w:szCs w:val="24"/>
        </w:rPr>
      </w:pPr>
    </w:p>
    <w:p w14:paraId="584C57E7">
      <w:pPr>
        <w:autoSpaceDE w:val="0"/>
        <w:autoSpaceDN w:val="0"/>
        <w:adjustRightInd w:val="0"/>
        <w:spacing w:line="360" w:lineRule="auto"/>
        <w:rPr>
          <w:kern w:val="0"/>
          <w:sz w:val="24"/>
          <w:szCs w:val="24"/>
        </w:rPr>
      </w:pPr>
    </w:p>
    <w:p w14:paraId="4B2E8CC6">
      <w:pPr>
        <w:autoSpaceDE w:val="0"/>
        <w:autoSpaceDN w:val="0"/>
        <w:adjustRightInd w:val="0"/>
        <w:spacing w:line="360" w:lineRule="auto"/>
        <w:rPr>
          <w:kern w:val="0"/>
          <w:sz w:val="24"/>
          <w:szCs w:val="24"/>
        </w:rPr>
      </w:pPr>
    </w:p>
    <w:p w14:paraId="7E01E278">
      <w:pPr>
        <w:autoSpaceDE w:val="0"/>
        <w:autoSpaceDN w:val="0"/>
        <w:adjustRightInd w:val="0"/>
        <w:spacing w:line="360" w:lineRule="auto"/>
        <w:rPr>
          <w:kern w:val="0"/>
          <w:sz w:val="24"/>
          <w:szCs w:val="24"/>
        </w:rPr>
      </w:pPr>
    </w:p>
    <w:p w14:paraId="10C739D7">
      <w:pPr>
        <w:autoSpaceDE w:val="0"/>
        <w:autoSpaceDN w:val="0"/>
        <w:adjustRightInd w:val="0"/>
        <w:spacing w:line="360" w:lineRule="auto"/>
        <w:rPr>
          <w:kern w:val="0"/>
          <w:sz w:val="24"/>
          <w:szCs w:val="24"/>
        </w:rPr>
      </w:pPr>
    </w:p>
    <w:p w14:paraId="13C6E700">
      <w:pPr>
        <w:autoSpaceDE w:val="0"/>
        <w:autoSpaceDN w:val="0"/>
        <w:adjustRightInd w:val="0"/>
        <w:spacing w:line="360" w:lineRule="auto"/>
        <w:rPr>
          <w:kern w:val="0"/>
          <w:sz w:val="24"/>
          <w:szCs w:val="24"/>
        </w:rPr>
      </w:pPr>
    </w:p>
    <w:p w14:paraId="042C214A">
      <w:pPr>
        <w:autoSpaceDE w:val="0"/>
        <w:autoSpaceDN w:val="0"/>
        <w:adjustRightInd w:val="0"/>
        <w:spacing w:line="360" w:lineRule="auto"/>
        <w:rPr>
          <w:kern w:val="0"/>
          <w:sz w:val="24"/>
          <w:szCs w:val="24"/>
        </w:rPr>
      </w:pPr>
    </w:p>
    <w:p w14:paraId="4371F423">
      <w:pPr>
        <w:autoSpaceDE w:val="0"/>
        <w:autoSpaceDN w:val="0"/>
        <w:adjustRightInd w:val="0"/>
        <w:spacing w:line="360" w:lineRule="auto"/>
        <w:rPr>
          <w:kern w:val="0"/>
          <w:sz w:val="24"/>
          <w:szCs w:val="24"/>
        </w:rPr>
      </w:pPr>
    </w:p>
    <w:p w14:paraId="00DEC635">
      <w:pPr>
        <w:autoSpaceDE w:val="0"/>
        <w:autoSpaceDN w:val="0"/>
        <w:adjustRightInd w:val="0"/>
        <w:spacing w:line="360" w:lineRule="auto"/>
        <w:rPr>
          <w:kern w:val="0"/>
          <w:sz w:val="24"/>
          <w:szCs w:val="24"/>
        </w:rPr>
      </w:pPr>
    </w:p>
    <w:p w14:paraId="02C0504B">
      <w:pPr>
        <w:autoSpaceDE w:val="0"/>
        <w:autoSpaceDN w:val="0"/>
        <w:adjustRightInd w:val="0"/>
        <w:spacing w:line="360" w:lineRule="auto"/>
        <w:rPr>
          <w:kern w:val="0"/>
          <w:sz w:val="24"/>
          <w:szCs w:val="24"/>
        </w:rPr>
      </w:pPr>
    </w:p>
    <w:p w14:paraId="4A289A15">
      <w:pPr>
        <w:autoSpaceDE w:val="0"/>
        <w:autoSpaceDN w:val="0"/>
        <w:adjustRightInd w:val="0"/>
        <w:spacing w:line="360" w:lineRule="auto"/>
        <w:rPr>
          <w:kern w:val="0"/>
          <w:sz w:val="24"/>
          <w:szCs w:val="24"/>
        </w:rPr>
      </w:pPr>
    </w:p>
    <w:p w14:paraId="0E05B6DE">
      <w:pPr>
        <w:autoSpaceDE w:val="0"/>
        <w:autoSpaceDN w:val="0"/>
        <w:adjustRightInd w:val="0"/>
        <w:spacing w:line="360" w:lineRule="auto"/>
        <w:rPr>
          <w:kern w:val="0"/>
          <w:sz w:val="24"/>
          <w:szCs w:val="24"/>
        </w:rPr>
      </w:pPr>
    </w:p>
    <w:p w14:paraId="51B73D28">
      <w:pPr>
        <w:autoSpaceDE w:val="0"/>
        <w:autoSpaceDN w:val="0"/>
        <w:adjustRightInd w:val="0"/>
        <w:spacing w:line="360" w:lineRule="auto"/>
        <w:rPr>
          <w:kern w:val="0"/>
          <w:sz w:val="24"/>
          <w:szCs w:val="24"/>
        </w:rPr>
      </w:pPr>
    </w:p>
    <w:p w14:paraId="513A66B7">
      <w:pPr>
        <w:keepNext w:val="0"/>
        <w:keepLines w:val="0"/>
        <w:pageBreakBefore w:val="0"/>
        <w:widowControl w:val="0"/>
        <w:kinsoku/>
        <w:wordWrap/>
        <w:overflowPunct/>
        <w:topLinePunct w:val="0"/>
        <w:autoSpaceDE w:val="0"/>
        <w:autoSpaceDN w:val="0"/>
        <w:bidi w:val="0"/>
        <w:adjustRightInd w:val="0"/>
        <w:snapToGrid/>
        <w:spacing w:before="157" w:beforeLines="50" w:line="360" w:lineRule="auto"/>
        <w:textAlignment w:val="auto"/>
        <w:rPr>
          <w:rFonts w:hint="eastAsia"/>
          <w:b/>
          <w:bCs/>
          <w:sz w:val="21"/>
          <w:szCs w:val="21"/>
        </w:rPr>
      </w:pPr>
      <w:r>
        <w:rPr>
          <w:rFonts w:hint="eastAsia"/>
          <w:kern w:val="0"/>
          <w:sz w:val="24"/>
          <w:szCs w:val="24"/>
          <w:lang w:val="en-US" w:eastAsia="zh-CN"/>
        </w:rPr>
        <w:t xml:space="preserve">                  </w:t>
      </w:r>
      <w:r>
        <w:rPr>
          <w:rFonts w:hint="eastAsia"/>
          <w:kern w:val="0"/>
          <w:sz w:val="21"/>
          <w:szCs w:val="21"/>
          <w:lang w:val="en-US" w:eastAsia="zh-CN"/>
        </w:rPr>
        <w:t xml:space="preserve">         </w:t>
      </w:r>
      <w:r>
        <w:rPr>
          <w:rFonts w:hint="eastAsia"/>
          <w:b/>
          <w:bCs/>
          <w:sz w:val="21"/>
          <w:szCs w:val="21"/>
        </w:rPr>
        <w:t>图1 标准编制技术路线图</w:t>
      </w:r>
    </w:p>
    <w:p w14:paraId="41C9B5B4">
      <w:pPr>
        <w:keepNext w:val="0"/>
        <w:keepLines w:val="0"/>
        <w:pageBreakBefore w:val="0"/>
        <w:widowControl w:val="0"/>
        <w:kinsoku/>
        <w:wordWrap/>
        <w:overflowPunct/>
        <w:topLinePunct w:val="0"/>
        <w:autoSpaceDE w:val="0"/>
        <w:autoSpaceDN w:val="0"/>
        <w:bidi w:val="0"/>
        <w:adjustRightInd w:val="0"/>
        <w:snapToGrid/>
        <w:spacing w:before="157" w:beforeLines="50" w:line="360" w:lineRule="auto"/>
        <w:jc w:val="center"/>
        <w:textAlignment w:val="auto"/>
        <w:rPr>
          <w:rFonts w:hint="default" w:eastAsia="宋体"/>
          <w:b/>
          <w:bCs/>
          <w:sz w:val="21"/>
          <w:szCs w:val="21"/>
          <w:lang w:val="en-US" w:eastAsia="zh-CN"/>
        </w:rPr>
      </w:pPr>
      <w:r>
        <w:rPr>
          <w:rFonts w:hint="eastAsia"/>
          <w:b/>
          <w:bCs/>
          <w:sz w:val="21"/>
          <w:szCs w:val="21"/>
          <w:lang w:val="en-US" w:eastAsia="zh-CN"/>
        </w:rPr>
        <w:t>表</w:t>
      </w:r>
      <w:r>
        <w:rPr>
          <w:rFonts w:hint="eastAsia"/>
          <w:b/>
          <w:bCs/>
          <w:sz w:val="21"/>
          <w:szCs w:val="21"/>
        </w:rPr>
        <w:t>1 标准</w:t>
      </w:r>
      <w:r>
        <w:rPr>
          <w:rFonts w:hint="eastAsia"/>
          <w:b/>
          <w:bCs/>
          <w:sz w:val="21"/>
          <w:szCs w:val="21"/>
          <w:lang w:val="en-US" w:eastAsia="zh-CN"/>
        </w:rPr>
        <w:t>编制人员分工表</w:t>
      </w:r>
    </w:p>
    <w:tbl>
      <w:tblPr>
        <w:tblStyle w:val="13"/>
        <w:tblW w:w="85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4"/>
        <w:gridCol w:w="2319"/>
        <w:gridCol w:w="763"/>
        <w:gridCol w:w="1531"/>
        <w:gridCol w:w="2891"/>
      </w:tblGrid>
      <w:tr w14:paraId="00909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034" w:type="dxa"/>
            <w:vAlign w:val="center"/>
          </w:tcPr>
          <w:p w14:paraId="5213C64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snapToGrid w:val="0"/>
                <w:color w:val="000000" w:themeColor="text1"/>
                <w:kern w:val="0"/>
                <w:sz w:val="21"/>
                <w:szCs w:val="21"/>
                <w:vertAlign w:val="baseline"/>
                <w:lang w:val="en-US" w:eastAsia="zh-CN"/>
                <w14:textFill>
                  <w14:solidFill>
                    <w14:schemeClr w14:val="tx1"/>
                  </w14:solidFill>
                </w14:textFill>
              </w:rPr>
            </w:pPr>
            <w:r>
              <w:rPr>
                <w:rFonts w:hint="eastAsia" w:ascii="黑体" w:hAnsi="黑体" w:eastAsia="黑体" w:cs="黑体"/>
                <w:b w:val="0"/>
                <w:bCs w:val="0"/>
                <w:snapToGrid w:val="0"/>
                <w:color w:val="000000" w:themeColor="text1"/>
                <w:kern w:val="0"/>
                <w:sz w:val="21"/>
                <w:szCs w:val="21"/>
                <w:vertAlign w:val="baseline"/>
                <w:lang w:val="en-US" w:eastAsia="zh-CN"/>
                <w14:textFill>
                  <w14:solidFill>
                    <w14:schemeClr w14:val="tx1"/>
                  </w14:solidFill>
                </w14:textFill>
              </w:rPr>
              <w:t>姓名</w:t>
            </w:r>
          </w:p>
        </w:tc>
        <w:tc>
          <w:tcPr>
            <w:tcW w:w="2319" w:type="dxa"/>
            <w:vAlign w:val="center"/>
          </w:tcPr>
          <w:p w14:paraId="7ADDFC6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snapToGrid w:val="0"/>
                <w:color w:val="000000" w:themeColor="text1"/>
                <w:kern w:val="0"/>
                <w:sz w:val="21"/>
                <w:szCs w:val="21"/>
                <w:vertAlign w:val="baseline"/>
                <w:lang w:val="en-US" w:eastAsia="zh-CN"/>
                <w14:textFill>
                  <w14:solidFill>
                    <w14:schemeClr w14:val="tx1"/>
                  </w14:solidFill>
                </w14:textFill>
              </w:rPr>
            </w:pPr>
            <w:r>
              <w:rPr>
                <w:rFonts w:hint="eastAsia" w:ascii="黑体" w:hAnsi="黑体" w:eastAsia="黑体" w:cs="黑体"/>
                <w:b w:val="0"/>
                <w:bCs w:val="0"/>
                <w:snapToGrid w:val="0"/>
                <w:color w:val="000000" w:themeColor="text1"/>
                <w:kern w:val="0"/>
                <w:sz w:val="21"/>
                <w:szCs w:val="21"/>
                <w:vertAlign w:val="baseline"/>
                <w:lang w:val="en-US" w:eastAsia="zh-CN"/>
                <w14:textFill>
                  <w14:solidFill>
                    <w14:schemeClr w14:val="tx1"/>
                  </w14:solidFill>
                </w14:textFill>
              </w:rPr>
              <w:t>工作单位</w:t>
            </w:r>
          </w:p>
        </w:tc>
        <w:tc>
          <w:tcPr>
            <w:tcW w:w="763" w:type="dxa"/>
            <w:vAlign w:val="center"/>
          </w:tcPr>
          <w:p w14:paraId="0518987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snapToGrid w:val="0"/>
                <w:color w:val="000000" w:themeColor="text1"/>
                <w:kern w:val="0"/>
                <w:sz w:val="21"/>
                <w:szCs w:val="21"/>
                <w:vertAlign w:val="baseline"/>
                <w:lang w:val="en-US" w:eastAsia="zh-CN"/>
                <w14:textFill>
                  <w14:solidFill>
                    <w14:schemeClr w14:val="tx1"/>
                  </w14:solidFill>
                </w14:textFill>
              </w:rPr>
            </w:pPr>
            <w:r>
              <w:rPr>
                <w:rFonts w:hint="eastAsia" w:ascii="黑体" w:hAnsi="黑体" w:eastAsia="黑体" w:cs="黑体"/>
                <w:b w:val="0"/>
                <w:bCs w:val="0"/>
                <w:snapToGrid w:val="0"/>
                <w:color w:val="000000" w:themeColor="text1"/>
                <w:kern w:val="0"/>
                <w:sz w:val="21"/>
                <w:szCs w:val="21"/>
                <w:vertAlign w:val="baseline"/>
                <w:lang w:val="en-US" w:eastAsia="zh-CN"/>
                <w14:textFill>
                  <w14:solidFill>
                    <w14:schemeClr w14:val="tx1"/>
                  </w14:solidFill>
                </w14:textFill>
              </w:rPr>
              <w:t>性别</w:t>
            </w:r>
          </w:p>
        </w:tc>
        <w:tc>
          <w:tcPr>
            <w:tcW w:w="1531" w:type="dxa"/>
            <w:vAlign w:val="center"/>
          </w:tcPr>
          <w:p w14:paraId="2F47073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snapToGrid w:val="0"/>
                <w:color w:val="000000" w:themeColor="text1"/>
                <w:kern w:val="0"/>
                <w:sz w:val="21"/>
                <w:szCs w:val="21"/>
                <w:vertAlign w:val="baseline"/>
                <w:lang w:val="en-US" w:eastAsia="zh-CN"/>
                <w14:textFill>
                  <w14:solidFill>
                    <w14:schemeClr w14:val="tx1"/>
                  </w14:solidFill>
                </w14:textFill>
              </w:rPr>
            </w:pPr>
            <w:r>
              <w:rPr>
                <w:rFonts w:hint="eastAsia" w:ascii="黑体" w:hAnsi="黑体" w:eastAsia="黑体" w:cs="黑体"/>
                <w:b w:val="0"/>
                <w:bCs w:val="0"/>
                <w:snapToGrid w:val="0"/>
                <w:color w:val="000000" w:themeColor="text1"/>
                <w:kern w:val="0"/>
                <w:sz w:val="21"/>
                <w:szCs w:val="21"/>
                <w:vertAlign w:val="baseline"/>
                <w:lang w:val="en-US" w:eastAsia="zh-CN"/>
                <w14:textFill>
                  <w14:solidFill>
                    <w14:schemeClr w14:val="tx1"/>
                  </w14:solidFill>
                </w14:textFill>
              </w:rPr>
              <w:t>职称</w:t>
            </w:r>
          </w:p>
        </w:tc>
        <w:tc>
          <w:tcPr>
            <w:tcW w:w="2891" w:type="dxa"/>
            <w:vAlign w:val="center"/>
          </w:tcPr>
          <w:p w14:paraId="3D6F9B0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snapToGrid w:val="0"/>
                <w:color w:val="000000" w:themeColor="text1"/>
                <w:kern w:val="0"/>
                <w:sz w:val="21"/>
                <w:szCs w:val="21"/>
                <w:vertAlign w:val="baseline"/>
                <w:lang w:val="en-US" w:eastAsia="zh-CN"/>
                <w14:textFill>
                  <w14:solidFill>
                    <w14:schemeClr w14:val="tx1"/>
                  </w14:solidFill>
                </w14:textFill>
              </w:rPr>
            </w:pPr>
            <w:r>
              <w:rPr>
                <w:rFonts w:hint="eastAsia" w:ascii="黑体" w:hAnsi="黑体" w:eastAsia="黑体" w:cs="黑体"/>
                <w:b w:val="0"/>
                <w:bCs w:val="0"/>
                <w:snapToGrid w:val="0"/>
                <w:color w:val="000000" w:themeColor="text1"/>
                <w:kern w:val="0"/>
                <w:sz w:val="21"/>
                <w:szCs w:val="21"/>
                <w:vertAlign w:val="baseline"/>
                <w:lang w:val="en-US" w:eastAsia="zh-CN"/>
                <w14:textFill>
                  <w14:solidFill>
                    <w14:schemeClr w14:val="tx1"/>
                  </w14:solidFill>
                </w14:textFill>
              </w:rPr>
              <w:t>本项目中承担的工作任务</w:t>
            </w:r>
          </w:p>
        </w:tc>
      </w:tr>
      <w:tr w14:paraId="3D3DF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34" w:type="dxa"/>
            <w:vAlign w:val="center"/>
          </w:tcPr>
          <w:p w14:paraId="6C42D45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张淳</w:t>
            </w:r>
          </w:p>
        </w:tc>
        <w:tc>
          <w:tcPr>
            <w:tcW w:w="2319" w:type="dxa"/>
            <w:vAlign w:val="center"/>
          </w:tcPr>
          <w:p w14:paraId="044CFCB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陕西省环境监测中心站</w:t>
            </w:r>
          </w:p>
        </w:tc>
        <w:tc>
          <w:tcPr>
            <w:tcW w:w="763" w:type="dxa"/>
            <w:vAlign w:val="center"/>
          </w:tcPr>
          <w:p w14:paraId="0157ACC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男</w:t>
            </w:r>
          </w:p>
        </w:tc>
        <w:tc>
          <w:tcPr>
            <w:tcW w:w="1531" w:type="dxa"/>
            <w:vAlign w:val="center"/>
          </w:tcPr>
          <w:p w14:paraId="57E39A4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高级工程师</w:t>
            </w:r>
          </w:p>
        </w:tc>
        <w:tc>
          <w:tcPr>
            <w:tcW w:w="2891" w:type="dxa"/>
            <w:vAlign w:val="center"/>
          </w:tcPr>
          <w:p w14:paraId="26E50D6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主持并把握项目进度、协调人员、查阅整理相关文献资料</w:t>
            </w:r>
          </w:p>
        </w:tc>
      </w:tr>
      <w:tr w14:paraId="28D1E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34" w:type="dxa"/>
            <w:vAlign w:val="center"/>
          </w:tcPr>
          <w:p w14:paraId="45A1F9F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郭亚飞</w:t>
            </w:r>
          </w:p>
        </w:tc>
        <w:tc>
          <w:tcPr>
            <w:tcW w:w="2319" w:type="dxa"/>
            <w:vAlign w:val="center"/>
          </w:tcPr>
          <w:p w14:paraId="253542A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陕西省环境监测中心站</w:t>
            </w:r>
          </w:p>
        </w:tc>
        <w:tc>
          <w:tcPr>
            <w:tcW w:w="763" w:type="dxa"/>
            <w:vAlign w:val="center"/>
          </w:tcPr>
          <w:p w14:paraId="46B245E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男</w:t>
            </w:r>
          </w:p>
        </w:tc>
        <w:tc>
          <w:tcPr>
            <w:tcW w:w="1531" w:type="dxa"/>
            <w:vAlign w:val="center"/>
          </w:tcPr>
          <w:p w14:paraId="5D1209D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高级工程师</w:t>
            </w:r>
          </w:p>
        </w:tc>
        <w:tc>
          <w:tcPr>
            <w:tcW w:w="2891" w:type="dxa"/>
            <w:vAlign w:val="center"/>
          </w:tcPr>
          <w:p w14:paraId="227C3EF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根据行业实地考察、整理分析相关数据、草案编制</w:t>
            </w:r>
          </w:p>
        </w:tc>
      </w:tr>
      <w:tr w14:paraId="70F37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34" w:type="dxa"/>
            <w:vAlign w:val="center"/>
          </w:tcPr>
          <w:p w14:paraId="0C9732F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胡岩</w:t>
            </w:r>
          </w:p>
        </w:tc>
        <w:tc>
          <w:tcPr>
            <w:tcW w:w="2319" w:type="dxa"/>
            <w:vAlign w:val="center"/>
          </w:tcPr>
          <w:p w14:paraId="01C6222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陕西省环境监测中心站</w:t>
            </w:r>
          </w:p>
        </w:tc>
        <w:tc>
          <w:tcPr>
            <w:tcW w:w="763" w:type="dxa"/>
            <w:vAlign w:val="center"/>
          </w:tcPr>
          <w:p w14:paraId="65A014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男</w:t>
            </w:r>
          </w:p>
        </w:tc>
        <w:tc>
          <w:tcPr>
            <w:tcW w:w="1531" w:type="dxa"/>
            <w:vAlign w:val="center"/>
          </w:tcPr>
          <w:p w14:paraId="3BCBAD2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工程师</w:t>
            </w:r>
          </w:p>
        </w:tc>
        <w:tc>
          <w:tcPr>
            <w:tcW w:w="2891" w:type="dxa"/>
            <w:vAlign w:val="center"/>
          </w:tcPr>
          <w:p w14:paraId="19EAE98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根据行业实地考察、整理分析相关数据、草案编制</w:t>
            </w:r>
          </w:p>
        </w:tc>
      </w:tr>
      <w:tr w14:paraId="1FCCF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34" w:type="dxa"/>
            <w:vAlign w:val="center"/>
          </w:tcPr>
          <w:p w14:paraId="1B5C2D4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和莹</w:t>
            </w:r>
          </w:p>
        </w:tc>
        <w:tc>
          <w:tcPr>
            <w:tcW w:w="2319" w:type="dxa"/>
            <w:vAlign w:val="center"/>
          </w:tcPr>
          <w:p w14:paraId="5529A51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陕西省环境监测中心站</w:t>
            </w:r>
          </w:p>
        </w:tc>
        <w:tc>
          <w:tcPr>
            <w:tcW w:w="763" w:type="dxa"/>
            <w:vAlign w:val="center"/>
          </w:tcPr>
          <w:p w14:paraId="0863D88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女</w:t>
            </w:r>
          </w:p>
        </w:tc>
        <w:tc>
          <w:tcPr>
            <w:tcW w:w="1531" w:type="dxa"/>
            <w:vAlign w:val="center"/>
          </w:tcPr>
          <w:p w14:paraId="040BD2A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正高级工程师</w:t>
            </w:r>
          </w:p>
        </w:tc>
        <w:tc>
          <w:tcPr>
            <w:tcW w:w="2891" w:type="dxa"/>
            <w:vAlign w:val="center"/>
          </w:tcPr>
          <w:p w14:paraId="397A1FD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根据行业实地考察、整理分析相关数据、草案编制</w:t>
            </w:r>
          </w:p>
        </w:tc>
      </w:tr>
      <w:tr w14:paraId="3199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34" w:type="dxa"/>
            <w:vAlign w:val="center"/>
          </w:tcPr>
          <w:p w14:paraId="4169466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高艳芬</w:t>
            </w:r>
          </w:p>
        </w:tc>
        <w:tc>
          <w:tcPr>
            <w:tcW w:w="2319" w:type="dxa"/>
            <w:shd w:val="clear" w:color="auto" w:fill="auto"/>
            <w:vAlign w:val="center"/>
          </w:tcPr>
          <w:p w14:paraId="2C9F47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陕西省环境监测中心站</w:t>
            </w:r>
          </w:p>
        </w:tc>
        <w:tc>
          <w:tcPr>
            <w:tcW w:w="763" w:type="dxa"/>
            <w:shd w:val="clear" w:color="auto" w:fill="auto"/>
            <w:vAlign w:val="center"/>
          </w:tcPr>
          <w:p w14:paraId="5CB5B0E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女</w:t>
            </w:r>
          </w:p>
        </w:tc>
        <w:tc>
          <w:tcPr>
            <w:tcW w:w="1531" w:type="dxa"/>
            <w:vAlign w:val="center"/>
          </w:tcPr>
          <w:p w14:paraId="71E8E61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副站长</w:t>
            </w:r>
          </w:p>
        </w:tc>
        <w:tc>
          <w:tcPr>
            <w:tcW w:w="2891" w:type="dxa"/>
            <w:vAlign w:val="center"/>
          </w:tcPr>
          <w:p w14:paraId="5FE268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根据行业实地考察、整理分析相关数据、草案编制</w:t>
            </w:r>
          </w:p>
        </w:tc>
      </w:tr>
      <w:tr w14:paraId="3AF0B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34" w:type="dxa"/>
            <w:vAlign w:val="center"/>
          </w:tcPr>
          <w:p w14:paraId="2923B09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imes New Roman"/>
                <w:color w:val="auto"/>
                <w:highlight w:val="none"/>
              </w:rPr>
              <w:t>朱周彬</w:t>
            </w:r>
          </w:p>
        </w:tc>
        <w:tc>
          <w:tcPr>
            <w:tcW w:w="2319" w:type="dxa"/>
            <w:vAlign w:val="center"/>
          </w:tcPr>
          <w:p w14:paraId="1646ED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color w:val="auto"/>
                <w:highlight w:val="none"/>
                <w:lang w:eastAsia="zh-CN"/>
              </w:rPr>
              <w:t>杭州</w:t>
            </w:r>
            <w:bookmarkStart w:id="65" w:name="_GoBack"/>
            <w:bookmarkEnd w:id="65"/>
            <w:r>
              <w:rPr>
                <w:rFonts w:hint="eastAsia"/>
                <w:color w:val="auto"/>
                <w:highlight w:val="none"/>
                <w:lang w:eastAsia="zh-CN"/>
              </w:rPr>
              <w:t>谱育科技发展有限公司</w:t>
            </w:r>
          </w:p>
        </w:tc>
        <w:tc>
          <w:tcPr>
            <w:tcW w:w="763" w:type="dxa"/>
            <w:vAlign w:val="center"/>
          </w:tcPr>
          <w:p w14:paraId="289B045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男</w:t>
            </w:r>
          </w:p>
        </w:tc>
        <w:tc>
          <w:tcPr>
            <w:tcW w:w="1531" w:type="dxa"/>
            <w:vAlign w:val="center"/>
          </w:tcPr>
          <w:p w14:paraId="4674BF8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工程师</w:t>
            </w:r>
          </w:p>
        </w:tc>
        <w:tc>
          <w:tcPr>
            <w:tcW w:w="2891" w:type="dxa"/>
            <w:vAlign w:val="center"/>
          </w:tcPr>
          <w:p w14:paraId="5CA634F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查阅整理相关文献资料、</w:t>
            </w:r>
          </w:p>
          <w:p w14:paraId="72D14B8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草案编制</w:t>
            </w:r>
          </w:p>
        </w:tc>
      </w:tr>
      <w:tr w14:paraId="1697B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34" w:type="dxa"/>
            <w:vAlign w:val="center"/>
          </w:tcPr>
          <w:p w14:paraId="5C4041A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金晓亮</w:t>
            </w:r>
          </w:p>
        </w:tc>
        <w:tc>
          <w:tcPr>
            <w:tcW w:w="2319" w:type="dxa"/>
            <w:vAlign w:val="center"/>
          </w:tcPr>
          <w:p w14:paraId="532FB23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14:textFill>
                  <w14:solidFill>
                    <w14:schemeClr w14:val="tx1"/>
                  </w14:solidFill>
                </w14:textFill>
              </w:rPr>
              <w:t>陕西正为环境检测股份有限公司</w:t>
            </w:r>
          </w:p>
        </w:tc>
        <w:tc>
          <w:tcPr>
            <w:tcW w:w="763" w:type="dxa"/>
            <w:vAlign w:val="center"/>
          </w:tcPr>
          <w:p w14:paraId="7199C38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男</w:t>
            </w:r>
          </w:p>
        </w:tc>
        <w:tc>
          <w:tcPr>
            <w:tcW w:w="1531" w:type="dxa"/>
            <w:vAlign w:val="center"/>
          </w:tcPr>
          <w:p w14:paraId="476F964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高级工程师</w:t>
            </w:r>
          </w:p>
        </w:tc>
        <w:tc>
          <w:tcPr>
            <w:tcW w:w="2891" w:type="dxa"/>
            <w:vAlign w:val="center"/>
          </w:tcPr>
          <w:p w14:paraId="72CFE69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查阅整理相关文献资料、提供实际验证设备、人员及车辆</w:t>
            </w:r>
          </w:p>
        </w:tc>
      </w:tr>
      <w:tr w14:paraId="024EF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34" w:type="dxa"/>
            <w:vAlign w:val="center"/>
          </w:tcPr>
          <w:p w14:paraId="61DCCC2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权旭东</w:t>
            </w:r>
          </w:p>
        </w:tc>
        <w:tc>
          <w:tcPr>
            <w:tcW w:w="2319" w:type="dxa"/>
            <w:vAlign w:val="center"/>
          </w:tcPr>
          <w:p w14:paraId="3F31F4B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陕西省环境监测中心站</w:t>
            </w:r>
          </w:p>
        </w:tc>
        <w:tc>
          <w:tcPr>
            <w:tcW w:w="763" w:type="dxa"/>
            <w:vAlign w:val="center"/>
          </w:tcPr>
          <w:p w14:paraId="7BD5AF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男</w:t>
            </w:r>
          </w:p>
        </w:tc>
        <w:tc>
          <w:tcPr>
            <w:tcW w:w="1531" w:type="dxa"/>
            <w:vAlign w:val="center"/>
          </w:tcPr>
          <w:p w14:paraId="298888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工程师</w:t>
            </w:r>
          </w:p>
        </w:tc>
        <w:tc>
          <w:tcPr>
            <w:tcW w:w="2891" w:type="dxa"/>
            <w:vAlign w:val="center"/>
          </w:tcPr>
          <w:p w14:paraId="50C0310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查阅整理相关文献资料、</w:t>
            </w:r>
          </w:p>
          <w:p w14:paraId="1074E9D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草案编制</w:t>
            </w:r>
          </w:p>
        </w:tc>
      </w:tr>
      <w:tr w14:paraId="36D7D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34" w:type="dxa"/>
            <w:vAlign w:val="center"/>
          </w:tcPr>
          <w:p w14:paraId="60ED126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高飞</w:t>
            </w:r>
          </w:p>
        </w:tc>
        <w:tc>
          <w:tcPr>
            <w:tcW w:w="2319" w:type="dxa"/>
            <w:shd w:val="clear" w:color="auto" w:fill="auto"/>
            <w:vAlign w:val="center"/>
          </w:tcPr>
          <w:p w14:paraId="00122B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陕西省环境监测中心站</w:t>
            </w:r>
          </w:p>
        </w:tc>
        <w:tc>
          <w:tcPr>
            <w:tcW w:w="763" w:type="dxa"/>
            <w:shd w:val="clear" w:color="auto" w:fill="auto"/>
            <w:vAlign w:val="center"/>
          </w:tcPr>
          <w:p w14:paraId="224F054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男</w:t>
            </w:r>
          </w:p>
        </w:tc>
        <w:tc>
          <w:tcPr>
            <w:tcW w:w="1531" w:type="dxa"/>
            <w:shd w:val="clear" w:color="auto" w:fill="auto"/>
            <w:vAlign w:val="center"/>
          </w:tcPr>
          <w:p w14:paraId="7F05045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高级工程师</w:t>
            </w:r>
          </w:p>
        </w:tc>
        <w:tc>
          <w:tcPr>
            <w:tcW w:w="2891" w:type="dxa"/>
            <w:shd w:val="clear" w:color="auto" w:fill="auto"/>
            <w:vAlign w:val="center"/>
          </w:tcPr>
          <w:p w14:paraId="55B383E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查阅整理相关文献资料、</w:t>
            </w:r>
          </w:p>
          <w:p w14:paraId="6B71DD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草案编制</w:t>
            </w:r>
          </w:p>
        </w:tc>
      </w:tr>
      <w:tr w14:paraId="2D8DE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34" w:type="dxa"/>
            <w:vAlign w:val="center"/>
          </w:tcPr>
          <w:p w14:paraId="3581BC5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张会强</w:t>
            </w:r>
          </w:p>
        </w:tc>
        <w:tc>
          <w:tcPr>
            <w:tcW w:w="2319" w:type="dxa"/>
            <w:shd w:val="clear" w:color="auto" w:fill="auto"/>
            <w:vAlign w:val="center"/>
          </w:tcPr>
          <w:p w14:paraId="5EF140A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陕西省环境监测中心站</w:t>
            </w:r>
          </w:p>
        </w:tc>
        <w:tc>
          <w:tcPr>
            <w:tcW w:w="763" w:type="dxa"/>
            <w:shd w:val="clear" w:color="auto" w:fill="auto"/>
            <w:vAlign w:val="center"/>
          </w:tcPr>
          <w:p w14:paraId="4ED994B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男</w:t>
            </w:r>
          </w:p>
        </w:tc>
        <w:tc>
          <w:tcPr>
            <w:tcW w:w="1531" w:type="dxa"/>
            <w:shd w:val="clear" w:color="auto" w:fill="auto"/>
            <w:vAlign w:val="center"/>
          </w:tcPr>
          <w:p w14:paraId="2AD94AA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高级工程师</w:t>
            </w:r>
          </w:p>
        </w:tc>
        <w:tc>
          <w:tcPr>
            <w:tcW w:w="2891" w:type="dxa"/>
            <w:shd w:val="clear" w:color="auto" w:fill="auto"/>
            <w:vAlign w:val="center"/>
          </w:tcPr>
          <w:p w14:paraId="218BFFA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查阅整理相关文献资料、</w:t>
            </w:r>
          </w:p>
          <w:p w14:paraId="1F4727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草案编制</w:t>
            </w:r>
          </w:p>
        </w:tc>
      </w:tr>
      <w:tr w14:paraId="130EA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34" w:type="dxa"/>
            <w:vAlign w:val="center"/>
          </w:tcPr>
          <w:p w14:paraId="739B28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王韶</w:t>
            </w:r>
          </w:p>
        </w:tc>
        <w:tc>
          <w:tcPr>
            <w:tcW w:w="2319" w:type="dxa"/>
            <w:shd w:val="clear" w:color="auto" w:fill="auto"/>
            <w:vAlign w:val="center"/>
          </w:tcPr>
          <w:p w14:paraId="4834C61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陕西恒信检测有限公司</w:t>
            </w:r>
          </w:p>
        </w:tc>
        <w:tc>
          <w:tcPr>
            <w:tcW w:w="763" w:type="dxa"/>
            <w:shd w:val="clear" w:color="auto" w:fill="auto"/>
            <w:vAlign w:val="center"/>
          </w:tcPr>
          <w:p w14:paraId="1CC14F8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男</w:t>
            </w:r>
          </w:p>
        </w:tc>
        <w:tc>
          <w:tcPr>
            <w:tcW w:w="1531" w:type="dxa"/>
            <w:shd w:val="clear" w:color="auto" w:fill="auto"/>
            <w:vAlign w:val="center"/>
          </w:tcPr>
          <w:p w14:paraId="1BD20EA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高级工程师</w:t>
            </w:r>
          </w:p>
        </w:tc>
        <w:tc>
          <w:tcPr>
            <w:tcW w:w="2891" w:type="dxa"/>
            <w:shd w:val="clear" w:color="auto" w:fill="auto"/>
            <w:vAlign w:val="center"/>
          </w:tcPr>
          <w:p w14:paraId="3E659B1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查阅整理相关文献资料、</w:t>
            </w:r>
          </w:p>
          <w:p w14:paraId="1C5BE38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草案编制</w:t>
            </w:r>
          </w:p>
        </w:tc>
      </w:tr>
      <w:tr w14:paraId="34FB5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34" w:type="dxa"/>
            <w:vAlign w:val="center"/>
          </w:tcPr>
          <w:p w14:paraId="4117648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杨旭东</w:t>
            </w:r>
          </w:p>
        </w:tc>
        <w:tc>
          <w:tcPr>
            <w:tcW w:w="2319" w:type="dxa"/>
            <w:shd w:val="clear" w:color="auto" w:fill="auto"/>
            <w:vAlign w:val="center"/>
          </w:tcPr>
          <w:p w14:paraId="1C0A141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陕西省环境监测中心站</w:t>
            </w:r>
          </w:p>
        </w:tc>
        <w:tc>
          <w:tcPr>
            <w:tcW w:w="763" w:type="dxa"/>
            <w:shd w:val="clear" w:color="auto" w:fill="auto"/>
            <w:vAlign w:val="center"/>
          </w:tcPr>
          <w:p w14:paraId="7D5C2C5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男</w:t>
            </w:r>
          </w:p>
        </w:tc>
        <w:tc>
          <w:tcPr>
            <w:tcW w:w="1531" w:type="dxa"/>
            <w:shd w:val="clear" w:color="auto" w:fill="auto"/>
            <w:vAlign w:val="center"/>
          </w:tcPr>
          <w:p w14:paraId="682B7B2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kern w:val="2"/>
                <w:sz w:val="21"/>
                <w:szCs w:val="21"/>
                <w:vertAlign w:val="baseli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工程师</w:t>
            </w:r>
          </w:p>
        </w:tc>
        <w:tc>
          <w:tcPr>
            <w:tcW w:w="2891" w:type="dxa"/>
            <w:vAlign w:val="center"/>
          </w:tcPr>
          <w:p w14:paraId="4C7E889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查阅整理相关文献资料、</w:t>
            </w:r>
          </w:p>
          <w:p w14:paraId="00CB85B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vertAlign w:val="baseline"/>
                <w:lang w:val="en-US" w:eastAsia="zh-CN"/>
                <w14:textFill>
                  <w14:solidFill>
                    <w14:schemeClr w14:val="tx1"/>
                  </w14:solidFill>
                </w14:textFill>
              </w:rPr>
              <w:t>草案编制</w:t>
            </w:r>
          </w:p>
        </w:tc>
      </w:tr>
    </w:tbl>
    <w:p w14:paraId="3A6DCD0D">
      <w:pPr>
        <w:autoSpaceDE w:val="0"/>
        <w:autoSpaceDN w:val="0"/>
        <w:adjustRightInd w:val="0"/>
        <w:spacing w:line="360" w:lineRule="auto"/>
        <w:ind w:firstLine="480" w:firstLineChars="200"/>
        <w:rPr>
          <w:kern w:val="0"/>
          <w:sz w:val="24"/>
          <w:szCs w:val="24"/>
        </w:rPr>
      </w:pPr>
      <w:r>
        <w:rPr>
          <w:rFonts w:hint="eastAsia"/>
          <w:kern w:val="0"/>
          <w:sz w:val="24"/>
          <w:szCs w:val="24"/>
        </w:rPr>
        <w:t>2023年7-10月：成立</w:t>
      </w:r>
      <w:r>
        <w:rPr>
          <w:rFonts w:hint="eastAsia" w:hAnsi="宋体"/>
          <w:sz w:val="24"/>
          <w:szCs w:val="24"/>
          <w:lang w:val="en-US" w:eastAsia="zh-CN"/>
        </w:rPr>
        <w:t>标准</w:t>
      </w:r>
      <w:r>
        <w:rPr>
          <w:rFonts w:hint="eastAsia"/>
          <w:kern w:val="0"/>
          <w:sz w:val="24"/>
          <w:szCs w:val="24"/>
        </w:rPr>
        <w:t>编制项目组，并启动</w:t>
      </w:r>
      <w:r>
        <w:rPr>
          <w:rFonts w:hint="eastAsia" w:hAnsi="宋体"/>
          <w:sz w:val="24"/>
          <w:szCs w:val="24"/>
          <w:lang w:val="en-US" w:eastAsia="zh-CN"/>
        </w:rPr>
        <w:t>标准</w:t>
      </w:r>
      <w:r>
        <w:rPr>
          <w:rFonts w:hint="eastAsia"/>
          <w:kern w:val="0"/>
          <w:sz w:val="24"/>
          <w:szCs w:val="24"/>
        </w:rPr>
        <w:t>编制工作，进行资料收集和整理。编制组查阅了我国现行及ISO、美国、欧盟、日本等国家和地区对固定污染源废气监测方面的相关法规、标准和技术规范等，调研了国内外主要便携式非甲烷总烃监测仪器。讨论并确定了</w:t>
      </w:r>
      <w:r>
        <w:rPr>
          <w:rFonts w:hint="eastAsia" w:hAnsi="宋体"/>
          <w:sz w:val="24"/>
          <w:szCs w:val="24"/>
          <w:lang w:val="en-US" w:eastAsia="zh-CN"/>
        </w:rPr>
        <w:t>标准</w:t>
      </w:r>
      <w:r>
        <w:rPr>
          <w:rFonts w:hint="eastAsia"/>
          <w:kern w:val="0"/>
          <w:sz w:val="24"/>
          <w:szCs w:val="24"/>
        </w:rPr>
        <w:t xml:space="preserve">的技术路线。 </w:t>
      </w:r>
    </w:p>
    <w:p w14:paraId="5BE961D5">
      <w:pPr>
        <w:autoSpaceDE w:val="0"/>
        <w:autoSpaceDN w:val="0"/>
        <w:adjustRightInd w:val="0"/>
        <w:spacing w:line="360" w:lineRule="auto"/>
        <w:ind w:firstLine="480" w:firstLineChars="200"/>
        <w:rPr>
          <w:kern w:val="0"/>
          <w:sz w:val="24"/>
          <w:szCs w:val="24"/>
        </w:rPr>
      </w:pPr>
      <w:r>
        <w:rPr>
          <w:rFonts w:hint="eastAsia"/>
          <w:kern w:val="0"/>
          <w:sz w:val="24"/>
          <w:szCs w:val="24"/>
        </w:rPr>
        <w:t>2023年11-12月：开展便携式非甲烷总烃污染源现场调研。</w:t>
      </w:r>
    </w:p>
    <w:p w14:paraId="2FE31DE5">
      <w:pPr>
        <w:autoSpaceDE w:val="0"/>
        <w:autoSpaceDN w:val="0"/>
        <w:adjustRightInd w:val="0"/>
        <w:spacing w:line="360" w:lineRule="auto"/>
        <w:ind w:firstLine="480" w:firstLineChars="200"/>
        <w:rPr>
          <w:kern w:val="0"/>
          <w:sz w:val="24"/>
          <w:szCs w:val="24"/>
        </w:rPr>
      </w:pPr>
      <w:r>
        <w:rPr>
          <w:rFonts w:hint="eastAsia"/>
          <w:kern w:val="0"/>
          <w:sz w:val="24"/>
          <w:szCs w:val="24"/>
        </w:rPr>
        <w:t>2024年1月-2月：形成</w:t>
      </w:r>
      <w:r>
        <w:rPr>
          <w:rFonts w:hint="eastAsia" w:hAnsi="宋体"/>
          <w:sz w:val="24"/>
          <w:szCs w:val="24"/>
          <w:lang w:val="en-US" w:eastAsia="zh-CN"/>
        </w:rPr>
        <w:t>标准</w:t>
      </w:r>
      <w:r>
        <w:rPr>
          <w:rFonts w:hint="eastAsia"/>
          <w:kern w:val="0"/>
          <w:sz w:val="24"/>
          <w:szCs w:val="24"/>
        </w:rPr>
        <w:t>（草案）及编制说明（草稿）。</w:t>
      </w:r>
    </w:p>
    <w:p w14:paraId="1F856401">
      <w:pPr>
        <w:spacing w:line="360" w:lineRule="auto"/>
        <w:ind w:firstLine="480" w:firstLineChars="200"/>
        <w:rPr>
          <w:kern w:val="0"/>
          <w:sz w:val="24"/>
          <w:szCs w:val="24"/>
        </w:rPr>
      </w:pPr>
      <w:r>
        <w:rPr>
          <w:rFonts w:hint="eastAsia"/>
          <w:kern w:val="0"/>
          <w:sz w:val="24"/>
          <w:szCs w:val="24"/>
        </w:rPr>
        <w:t>2024年</w:t>
      </w:r>
      <w:r>
        <w:rPr>
          <w:rFonts w:hint="eastAsia"/>
          <w:kern w:val="0"/>
          <w:sz w:val="24"/>
          <w:szCs w:val="24"/>
          <w:lang w:val="en-US" w:eastAsia="zh-CN"/>
        </w:rPr>
        <w:t>2</w:t>
      </w:r>
      <w:r>
        <w:rPr>
          <w:rFonts w:hint="eastAsia"/>
          <w:kern w:val="0"/>
          <w:sz w:val="24"/>
          <w:szCs w:val="24"/>
        </w:rPr>
        <w:t>月-</w:t>
      </w:r>
      <w:r>
        <w:rPr>
          <w:rFonts w:hint="eastAsia"/>
          <w:kern w:val="0"/>
          <w:sz w:val="24"/>
          <w:szCs w:val="24"/>
          <w:lang w:val="en-US" w:eastAsia="zh-CN"/>
        </w:rPr>
        <w:t>6</w:t>
      </w:r>
      <w:r>
        <w:rPr>
          <w:rFonts w:hint="eastAsia"/>
          <w:kern w:val="0"/>
          <w:sz w:val="24"/>
          <w:szCs w:val="24"/>
        </w:rPr>
        <w:t>月：内部征求意见及修改，形成</w:t>
      </w:r>
      <w:r>
        <w:rPr>
          <w:rFonts w:hint="eastAsia" w:hAnsi="宋体"/>
          <w:sz w:val="24"/>
          <w:szCs w:val="24"/>
          <w:lang w:val="en-US" w:eastAsia="zh-CN"/>
        </w:rPr>
        <w:t>标准</w:t>
      </w:r>
      <w:r>
        <w:rPr>
          <w:rFonts w:hint="eastAsia"/>
          <w:kern w:val="0"/>
          <w:sz w:val="24"/>
          <w:szCs w:val="24"/>
        </w:rPr>
        <w:t>（</w:t>
      </w:r>
      <w:r>
        <w:rPr>
          <w:rFonts w:hint="eastAsia"/>
          <w:kern w:val="0"/>
          <w:sz w:val="24"/>
          <w:szCs w:val="24"/>
          <w:lang w:val="en-US" w:eastAsia="zh-CN"/>
        </w:rPr>
        <w:t>送审</w:t>
      </w:r>
      <w:r>
        <w:rPr>
          <w:rFonts w:hint="eastAsia"/>
          <w:kern w:val="0"/>
          <w:sz w:val="24"/>
          <w:szCs w:val="24"/>
        </w:rPr>
        <w:t>稿）及编制说明（</w:t>
      </w:r>
      <w:r>
        <w:rPr>
          <w:rFonts w:hint="eastAsia"/>
          <w:kern w:val="0"/>
          <w:sz w:val="24"/>
          <w:szCs w:val="24"/>
          <w:lang w:val="en-US" w:eastAsia="zh-CN"/>
        </w:rPr>
        <w:t>送审</w:t>
      </w:r>
      <w:r>
        <w:rPr>
          <w:rFonts w:hint="eastAsia"/>
          <w:kern w:val="0"/>
          <w:sz w:val="24"/>
          <w:szCs w:val="24"/>
        </w:rPr>
        <w:t>稿）。</w:t>
      </w:r>
    </w:p>
    <w:p w14:paraId="619B5A4D">
      <w:pPr>
        <w:spacing w:line="360" w:lineRule="auto"/>
        <w:ind w:firstLine="480" w:firstLineChars="200"/>
        <w:rPr>
          <w:rFonts w:hint="eastAsia" w:hAnsi="宋体"/>
          <w:sz w:val="24"/>
          <w:szCs w:val="24"/>
        </w:rPr>
      </w:pPr>
      <w:r>
        <w:rPr>
          <w:rFonts w:hint="eastAsia" w:hAnsi="宋体"/>
          <w:sz w:val="24"/>
          <w:szCs w:val="24"/>
        </w:rPr>
        <w:t>2024年6月</w:t>
      </w:r>
      <w:r>
        <w:rPr>
          <w:rFonts w:hint="eastAsia" w:hAnsi="宋体"/>
          <w:sz w:val="24"/>
          <w:szCs w:val="24"/>
          <w:lang w:val="en-US" w:eastAsia="zh-CN"/>
        </w:rPr>
        <w:t>-11月</w:t>
      </w:r>
      <w:r>
        <w:rPr>
          <w:rFonts w:hint="eastAsia" w:hAnsi="宋体"/>
          <w:sz w:val="24"/>
          <w:szCs w:val="24"/>
          <w:lang w:eastAsia="zh-CN"/>
        </w:rPr>
        <w:t>：</w:t>
      </w:r>
      <w:r>
        <w:rPr>
          <w:rFonts w:hint="eastAsia" w:hAnsi="宋体"/>
          <w:sz w:val="24"/>
          <w:szCs w:val="24"/>
        </w:rPr>
        <w:t>由生态环境厅监测处委托陕西省环境标准委员会组织专家进行技术审查会，根据与会专家及相关管理部门的意见进行修改，形成《固定污染源废气 总烃、甲烷和非甲烷总烃</w:t>
      </w:r>
      <w:r>
        <w:rPr>
          <w:rFonts w:hint="eastAsia" w:hAnsi="宋体"/>
          <w:sz w:val="24"/>
          <w:szCs w:val="24"/>
          <w:lang w:eastAsia="zh-CN"/>
        </w:rPr>
        <w:t>便携式仪器现场测试技术指南</w:t>
      </w:r>
      <w:r>
        <w:rPr>
          <w:rFonts w:hint="eastAsia" w:hAnsi="宋体"/>
          <w:sz w:val="24"/>
          <w:szCs w:val="24"/>
        </w:rPr>
        <w:t>》（征求意见稿）及编制说明（征求意见稿）。</w:t>
      </w:r>
    </w:p>
    <w:p w14:paraId="2A740925">
      <w:pPr>
        <w:spacing w:line="360" w:lineRule="auto"/>
        <w:ind w:firstLine="480" w:firstLineChars="200"/>
        <w:rPr>
          <w:rFonts w:hint="default" w:hAnsi="Times New Roman"/>
          <w:sz w:val="24"/>
          <w:szCs w:val="24"/>
        </w:rPr>
      </w:pPr>
      <w:r>
        <w:rPr>
          <w:rFonts w:hint="default" w:ascii="Times New Roman" w:hAnsi="Times New Roman" w:cs="Times New Roman"/>
          <w:sz w:val="24"/>
          <w:szCs w:val="24"/>
          <w:lang w:val="en-US" w:eastAsia="zh-CN"/>
        </w:rPr>
        <w:t>2024年</w:t>
      </w:r>
      <w:r>
        <w:rPr>
          <w:rFonts w:ascii="Times New Roman" w:hAnsi="Times New Roman" w:eastAsia="宋体" w:cs="Times New Roman"/>
          <w:sz w:val="24"/>
          <w:szCs w:val="24"/>
        </w:rPr>
        <w:t>11月26日</w:t>
      </w:r>
      <w:r>
        <w:rPr>
          <w:rFonts w:hint="default" w:ascii="Times New Roman" w:hAnsi="Times New Roman" w:cs="Times New Roman"/>
          <w:sz w:val="24"/>
          <w:szCs w:val="24"/>
          <w:lang w:val="en-US" w:eastAsia="zh-CN"/>
        </w:rPr>
        <w:t>-</w:t>
      </w:r>
      <w:r>
        <w:rPr>
          <w:rFonts w:ascii="Times New Roman" w:hAnsi="Times New Roman" w:eastAsia="宋体" w:cs="Times New Roman"/>
          <w:sz w:val="24"/>
          <w:szCs w:val="24"/>
        </w:rPr>
        <w:t>12月25日</w:t>
      </w:r>
      <w:r>
        <w:rPr>
          <w:rFonts w:hint="eastAsia" w:cs="Times New Roman"/>
          <w:sz w:val="24"/>
          <w:szCs w:val="24"/>
          <w:lang w:eastAsia="zh-CN"/>
        </w:rPr>
        <w:t>：</w:t>
      </w:r>
      <w:r>
        <w:rPr>
          <w:rFonts w:ascii="Times New Roman" w:hAnsi="Times New Roman" w:eastAsia="宋体" w:cs="Times New Roman"/>
          <w:sz w:val="24"/>
          <w:szCs w:val="24"/>
        </w:rPr>
        <w:t>通过厅门户网站向社会公开征集意见，共10余家单位提出</w:t>
      </w:r>
      <w:r>
        <w:rPr>
          <w:rFonts w:hint="default" w:ascii="Times New Roman" w:hAnsi="Times New Roman" w:cs="Times New Roman"/>
          <w:sz w:val="24"/>
          <w:szCs w:val="24"/>
          <w:lang w:val="en-US" w:eastAsia="zh-CN"/>
        </w:rPr>
        <w:t>10</w:t>
      </w:r>
      <w:r>
        <w:rPr>
          <w:rFonts w:ascii="Times New Roman" w:hAnsi="Times New Roman" w:eastAsia="宋体" w:cs="Times New Roman"/>
          <w:sz w:val="24"/>
          <w:szCs w:val="24"/>
        </w:rPr>
        <w:t>条意见建议，均已采纳修改。</w:t>
      </w:r>
    </w:p>
    <w:p w14:paraId="5B2CDC76">
      <w:pPr>
        <w:spacing w:line="360" w:lineRule="auto"/>
        <w:ind w:firstLine="480" w:firstLineChars="200"/>
        <w:rPr>
          <w:rFonts w:hint="eastAsia" w:hAnsi="宋体"/>
          <w:sz w:val="24"/>
          <w:szCs w:val="24"/>
        </w:rPr>
      </w:pPr>
      <w:r>
        <w:rPr>
          <w:rFonts w:hint="eastAsia" w:hAnsi="宋体"/>
          <w:sz w:val="24"/>
          <w:szCs w:val="24"/>
        </w:rPr>
        <w:t>202</w:t>
      </w:r>
      <w:r>
        <w:rPr>
          <w:rFonts w:hint="eastAsia" w:hAnsi="宋体"/>
          <w:sz w:val="24"/>
          <w:szCs w:val="24"/>
          <w:lang w:val="en-US" w:eastAsia="zh-CN"/>
        </w:rPr>
        <w:t>5</w:t>
      </w:r>
      <w:r>
        <w:rPr>
          <w:rFonts w:hint="eastAsia" w:hAnsi="宋体"/>
          <w:sz w:val="24"/>
          <w:szCs w:val="24"/>
        </w:rPr>
        <w:t>年</w:t>
      </w:r>
      <w:r>
        <w:rPr>
          <w:rFonts w:hint="eastAsia" w:hAnsi="宋体"/>
          <w:sz w:val="24"/>
          <w:szCs w:val="24"/>
          <w:lang w:val="en-US" w:eastAsia="zh-CN"/>
        </w:rPr>
        <w:t>3</w:t>
      </w:r>
      <w:r>
        <w:rPr>
          <w:rFonts w:hint="eastAsia" w:hAnsi="宋体"/>
          <w:sz w:val="24"/>
          <w:szCs w:val="24"/>
        </w:rPr>
        <w:t>月，由省</w:t>
      </w:r>
      <w:r>
        <w:rPr>
          <w:rFonts w:hint="eastAsia" w:hAnsi="宋体"/>
          <w:sz w:val="24"/>
          <w:szCs w:val="24"/>
          <w:lang w:val="en-US" w:eastAsia="zh-CN"/>
        </w:rPr>
        <w:t>生态环境厅</w:t>
      </w:r>
      <w:r>
        <w:rPr>
          <w:rFonts w:hint="eastAsia" w:hAnsi="宋体"/>
          <w:sz w:val="24"/>
          <w:szCs w:val="24"/>
        </w:rPr>
        <w:t>组织</w:t>
      </w:r>
      <w:r>
        <w:rPr>
          <w:rFonts w:hint="eastAsia" w:hAnsi="宋体"/>
          <w:sz w:val="24"/>
          <w:szCs w:val="24"/>
          <w:lang w:val="en-US" w:eastAsia="zh-CN"/>
        </w:rPr>
        <w:t>审查会</w:t>
      </w:r>
      <w:r>
        <w:rPr>
          <w:rFonts w:hint="eastAsia" w:hAnsi="宋体"/>
          <w:sz w:val="24"/>
          <w:szCs w:val="24"/>
        </w:rPr>
        <w:t>，</w:t>
      </w:r>
      <w:r>
        <w:rPr>
          <w:rFonts w:hint="eastAsia" w:hAnsi="宋体"/>
          <w:sz w:val="24"/>
          <w:szCs w:val="24"/>
          <w:lang w:val="en-US" w:eastAsia="zh-CN"/>
        </w:rPr>
        <w:t>形成审查意见并修改</w:t>
      </w:r>
      <w:r>
        <w:rPr>
          <w:rFonts w:hint="eastAsia" w:hAnsi="宋体"/>
          <w:sz w:val="24"/>
          <w:szCs w:val="24"/>
        </w:rPr>
        <w:t>。</w:t>
      </w:r>
    </w:p>
    <w:p w14:paraId="793A1ADC">
      <w:pPr>
        <w:spacing w:line="360" w:lineRule="auto"/>
        <w:ind w:firstLine="480" w:firstLineChars="200"/>
        <w:rPr>
          <w:rFonts w:hint="eastAsia" w:hAnsi="宋体"/>
          <w:sz w:val="24"/>
          <w:szCs w:val="24"/>
        </w:rPr>
      </w:pPr>
      <w:r>
        <w:rPr>
          <w:rFonts w:hint="eastAsia" w:hAnsi="宋体"/>
          <w:sz w:val="24"/>
          <w:szCs w:val="24"/>
        </w:rPr>
        <w:t>202</w:t>
      </w:r>
      <w:r>
        <w:rPr>
          <w:rFonts w:hint="eastAsia" w:hAnsi="宋体"/>
          <w:sz w:val="24"/>
          <w:szCs w:val="24"/>
          <w:lang w:val="en-US" w:eastAsia="zh-CN"/>
        </w:rPr>
        <w:t>5</w:t>
      </w:r>
      <w:r>
        <w:rPr>
          <w:rFonts w:hint="eastAsia" w:hAnsi="宋体"/>
          <w:sz w:val="24"/>
          <w:szCs w:val="24"/>
        </w:rPr>
        <w:t xml:space="preserve">年 </w:t>
      </w:r>
      <w:r>
        <w:rPr>
          <w:rFonts w:hint="eastAsia" w:hAnsi="宋体"/>
          <w:sz w:val="24"/>
          <w:szCs w:val="24"/>
          <w:lang w:val="en-US" w:eastAsia="zh-CN"/>
        </w:rPr>
        <w:t xml:space="preserve"> </w:t>
      </w:r>
      <w:r>
        <w:rPr>
          <w:rFonts w:hint="eastAsia" w:hAnsi="宋体"/>
          <w:sz w:val="24"/>
          <w:szCs w:val="24"/>
        </w:rPr>
        <w:t>月，形成《固定污染源废气 总烃、甲烷和非甲烷总烃</w:t>
      </w:r>
      <w:r>
        <w:rPr>
          <w:rFonts w:hint="eastAsia" w:hAnsi="宋体"/>
          <w:sz w:val="24"/>
          <w:szCs w:val="24"/>
          <w:lang w:eastAsia="zh-CN"/>
        </w:rPr>
        <w:t>便携式仪器现场测试技术指南</w:t>
      </w:r>
      <w:r>
        <w:rPr>
          <w:rFonts w:hint="eastAsia" w:hAnsi="宋体"/>
          <w:sz w:val="24"/>
          <w:szCs w:val="24"/>
        </w:rPr>
        <w:t>》（报批稿）及编制说明（报批稿），报省市场监督管理局。</w:t>
      </w:r>
    </w:p>
    <w:p w14:paraId="66C8C08E">
      <w:pPr>
        <w:pStyle w:val="2"/>
        <w:rPr>
          <w:rFonts w:eastAsia="黑体"/>
          <w:sz w:val="28"/>
          <w:szCs w:val="28"/>
        </w:rPr>
      </w:pPr>
      <w:bookmarkStart w:id="7" w:name="_Toc387333548"/>
      <w:bookmarkStart w:id="8" w:name="_Toc13930"/>
      <w:bookmarkStart w:id="9" w:name="_Toc18194"/>
      <w:bookmarkStart w:id="10" w:name="_Toc164795156"/>
      <w:r>
        <w:rPr>
          <w:rFonts w:eastAsia="黑体"/>
          <w:sz w:val="28"/>
          <w:szCs w:val="28"/>
        </w:rPr>
        <w:t>2 标准编制的必要性</w:t>
      </w:r>
      <w:bookmarkEnd w:id="7"/>
      <w:r>
        <w:rPr>
          <w:rFonts w:eastAsia="黑体"/>
          <w:sz w:val="28"/>
          <w:szCs w:val="28"/>
        </w:rPr>
        <w:t>和意义</w:t>
      </w:r>
      <w:bookmarkEnd w:id="8"/>
      <w:bookmarkEnd w:id="9"/>
      <w:bookmarkEnd w:id="10"/>
    </w:p>
    <w:p w14:paraId="2DB1B0AF">
      <w:pPr>
        <w:widowControl/>
        <w:spacing w:line="360" w:lineRule="auto"/>
        <w:ind w:firstLine="482"/>
        <w:jc w:val="left"/>
        <w:rPr>
          <w:rFonts w:hint="eastAsia" w:ascii="宋体" w:hAnsi="宋体" w:cs="宋体"/>
          <w:sz w:val="24"/>
          <w:szCs w:val="24"/>
        </w:rPr>
      </w:pPr>
      <w:r>
        <w:rPr>
          <w:rFonts w:hint="eastAsia" w:ascii="宋体" w:hAnsi="宋体" w:cs="宋体"/>
          <w:sz w:val="24"/>
          <w:szCs w:val="24"/>
        </w:rPr>
        <w:t>挥发性有机物（Volatile Organic Compounds, VOCs）是指参与大气光化学反应的有机化合物，或者根据有关规定确定的有机化合物。在一般环境中约存在数百种以上的不同VOCs，且它们具有不同的物理性质和化学性质。其中主要包含烷烃、烯烃、炔烃、芳香烃、酮类、醛类、醇类以及卤代烃、氯乙烯等。由于VOCs的成分复杂，其所表现出的毒性、刺激性、致癌作用和具有的特殊气味能导致人体呈现种种不适反应, 并对人体健康造成较大的影响。因此，研究环境中VOCs的存在、来源、分布规律、迁移转化及其对人体健康的影响一直受到人们的重视，并成为国内外研究的焦点。</w:t>
      </w:r>
    </w:p>
    <w:p w14:paraId="66B30590">
      <w:pPr>
        <w:widowControl/>
        <w:spacing w:line="360" w:lineRule="auto"/>
        <w:ind w:firstLine="482"/>
        <w:jc w:val="left"/>
        <w:rPr>
          <w:rFonts w:hint="eastAsia" w:ascii="宋体" w:hAnsi="宋体" w:cs="宋体"/>
          <w:sz w:val="24"/>
          <w:szCs w:val="24"/>
        </w:rPr>
      </w:pPr>
      <w:r>
        <w:rPr>
          <w:rFonts w:hint="eastAsia" w:ascii="宋体" w:hAnsi="宋体" w:cs="宋体"/>
          <w:sz w:val="24"/>
          <w:szCs w:val="24"/>
        </w:rPr>
        <w:t>总烃（THC）是指采用规定的监测方法、氢火焰离子化检测器有响应的气态有机化合物的总和，以碳的质量浓度计。非甲烷总烃（NMHC）为总烃中除甲烷外的气态有机化合物的总和。</w:t>
      </w:r>
    </w:p>
    <w:p w14:paraId="2B314B75">
      <w:pPr>
        <w:widowControl/>
        <w:spacing w:line="360" w:lineRule="auto"/>
        <w:ind w:firstLine="482"/>
        <w:jc w:val="left"/>
        <w:rPr>
          <w:rFonts w:hint="eastAsia" w:ascii="宋体" w:hAnsi="宋体" w:cs="宋体"/>
          <w:sz w:val="24"/>
          <w:szCs w:val="24"/>
        </w:rPr>
      </w:pPr>
      <w:r>
        <w:rPr>
          <w:rFonts w:hint="eastAsia" w:ascii="宋体" w:hAnsi="宋体" w:cs="宋体"/>
          <w:sz w:val="24"/>
          <w:szCs w:val="24"/>
        </w:rPr>
        <w:t>在表征VOCs总体排放情况时，根据行业特征和环境管理要求，可采用非甲烷总烃作为污染源控制项目。非甲烷总烃浓度高，说明空气或者废气中有机污染物含量高，超过一定浓度，除直接对人体健康有害外，在一定条件下大气中的烃类与氮氧化物经日光照射产生一系列光化学反应而形成光化学烟雾，对环境和人类都造成进一步危害。</w:t>
      </w:r>
    </w:p>
    <w:p w14:paraId="02C55CD2">
      <w:pPr>
        <w:widowControl/>
        <w:spacing w:line="360" w:lineRule="auto"/>
        <w:ind w:firstLine="482"/>
        <w:jc w:val="left"/>
        <w:rPr>
          <w:rFonts w:hint="eastAsia" w:ascii="宋体" w:hAnsi="宋体" w:cs="宋体"/>
          <w:bCs/>
          <w:sz w:val="24"/>
          <w:szCs w:val="24"/>
        </w:rPr>
      </w:pPr>
      <w:r>
        <w:rPr>
          <w:rFonts w:hint="eastAsia" w:ascii="宋体" w:hAnsi="宋体" w:cs="宋体"/>
          <w:bCs/>
          <w:sz w:val="24"/>
          <w:szCs w:val="24"/>
        </w:rPr>
        <w:t>工业生产中，如对排放废气中的每种有机化合物进行定性、定量分析，所需时间较长且费用极大，因此非甲烷总烃含量测定是很好的替代方案，具有检测时间短，费用低等优点。传统的非甲烷总烃监测方法采用“现场手工采样-实验室仪器分析”的方法，时效性较低，周期较长，数据准确性无法保证，可能造成以下管理问题：</w:t>
      </w:r>
    </w:p>
    <w:p w14:paraId="317C89B7">
      <w:pPr>
        <w:widowControl/>
        <w:spacing w:line="360" w:lineRule="auto"/>
        <w:ind w:firstLine="482"/>
        <w:jc w:val="left"/>
        <w:rPr>
          <w:rFonts w:hint="eastAsia" w:ascii="宋体" w:hAnsi="宋体" w:cs="宋体"/>
          <w:bCs/>
          <w:sz w:val="24"/>
          <w:szCs w:val="24"/>
        </w:rPr>
      </w:pPr>
      <w:r>
        <w:rPr>
          <w:rFonts w:hint="eastAsia" w:ascii="宋体" w:hAnsi="宋体" w:cs="宋体"/>
          <w:bCs/>
          <w:sz w:val="24"/>
          <w:szCs w:val="24"/>
        </w:rPr>
        <w:t>1）测量不准确：实验室方法测量非甲烷总烃，需要通过手工采样、样品储存、样品运输、样品恢复等一系列操作，在这些过程中会发生样品吸附、冷凝、稀释等失真问题，导致在实验室测量的结果与实际相差较大，未能真实反应企业的排放情况；</w:t>
      </w:r>
    </w:p>
    <w:p w14:paraId="4AFDE297">
      <w:pPr>
        <w:widowControl/>
        <w:spacing w:line="360" w:lineRule="auto"/>
        <w:ind w:firstLine="482"/>
        <w:jc w:val="left"/>
        <w:rPr>
          <w:rFonts w:hint="eastAsia" w:ascii="宋体" w:hAnsi="宋体" w:cs="宋体"/>
          <w:bCs/>
          <w:sz w:val="24"/>
          <w:szCs w:val="24"/>
        </w:rPr>
      </w:pPr>
      <w:r>
        <w:rPr>
          <w:rFonts w:hint="eastAsia" w:ascii="宋体" w:hAnsi="宋体" w:cs="宋体"/>
          <w:bCs/>
          <w:sz w:val="24"/>
          <w:szCs w:val="24"/>
        </w:rPr>
        <w:t>3）测量周期长：实验室方法测量非甲烷总烃时，样品从采样到实验室分析得出结果一般需要几小时的时间，测量排放浓度或进行在线设备比对如需进行二次比对测量时，则需另择日期再次前往污染源现场进行采样分析比对，在线监测系统的数据比对，依赖传统实验室方法，造成比对结果差异较大，导致无法验收的问题。应对突发环境事件监测时，现场采样至实验室出结果，检测周期最少需要几个小时，无法保证现场的及时性；</w:t>
      </w:r>
    </w:p>
    <w:p w14:paraId="744F1784">
      <w:pPr>
        <w:widowControl/>
        <w:spacing w:line="360" w:lineRule="auto"/>
        <w:ind w:firstLine="482"/>
        <w:jc w:val="left"/>
        <w:rPr>
          <w:rFonts w:hint="eastAsia" w:ascii="宋体" w:hAnsi="宋体" w:cs="宋体"/>
          <w:bCs/>
          <w:sz w:val="24"/>
          <w:szCs w:val="24"/>
        </w:rPr>
      </w:pPr>
      <w:r>
        <w:rPr>
          <w:rFonts w:hint="eastAsia" w:ascii="宋体" w:hAnsi="宋体" w:cs="宋体"/>
          <w:bCs/>
          <w:sz w:val="24"/>
          <w:szCs w:val="24"/>
        </w:rPr>
        <w:t>3）耗费人力：实验室方法测量非甲烷总烃需要采样人员前往污染源现场进行现场采样，样品运到实验室后需要专业人员运用气相色谱方法进行分析，单次测量需要多个人员进行协调工作共同完成；</w:t>
      </w:r>
    </w:p>
    <w:p w14:paraId="21B46F70">
      <w:pPr>
        <w:widowControl/>
        <w:spacing w:line="360" w:lineRule="auto"/>
        <w:ind w:firstLine="482"/>
        <w:jc w:val="left"/>
        <w:rPr>
          <w:rFonts w:hint="eastAsia" w:ascii="宋体" w:hAnsi="宋体" w:cs="宋体"/>
          <w:bCs/>
          <w:sz w:val="24"/>
          <w:szCs w:val="24"/>
        </w:rPr>
      </w:pPr>
      <w:r>
        <w:rPr>
          <w:rFonts w:hint="eastAsia" w:ascii="宋体" w:hAnsi="宋体" w:cs="宋体"/>
          <w:bCs/>
          <w:sz w:val="24"/>
          <w:szCs w:val="24"/>
        </w:rPr>
        <w:t>4）突击检查困难：因受实验室测量非甲烷总烃方法限制，在进行突查时无法快速分析得出结果，传统手工采样一般需要20分钟以上时间进行样品的采集，无法达到突击检查目的。</w:t>
      </w:r>
    </w:p>
    <w:p w14:paraId="760DEE7B">
      <w:pPr>
        <w:widowControl/>
        <w:spacing w:line="360" w:lineRule="auto"/>
        <w:ind w:firstLine="482"/>
        <w:jc w:val="left"/>
        <w:rPr>
          <w:rFonts w:hint="eastAsia" w:ascii="宋体" w:hAnsi="宋体" w:cs="宋体"/>
          <w:sz w:val="24"/>
          <w:szCs w:val="24"/>
        </w:rPr>
      </w:pPr>
      <w:r>
        <w:rPr>
          <w:rFonts w:hint="eastAsia" w:ascii="宋体" w:hAnsi="宋体" w:cs="宋体"/>
          <w:sz w:val="24"/>
          <w:szCs w:val="24"/>
        </w:rPr>
        <w:t>因此，2018年生态环境部发布标准《环境空气和废气 总烃、甲烷和非甲烷总烃便携式监测仪技术要求及检测方法》HJ 1012-2018，之后各地相关非甲烷总烃的便携式监测方法陆续出台，2023年生态环境部发布了《固定污染源废气 总烃、甲烷和非甲烷总烃的测定 便携式催化氧化-氢火焰离子化检测器法》（HJ 1331-2023）与《固定污染源废气 总烃、甲烷和非甲烷总烃的测定 便携式气相色谱-氢火焰离子化检测器法》（HJ 1332-2023）两项方法标准，可现场实时快速出结果的便携式监测方法成为非甲烷总烃监督性监测、现场执法、在线分析仪比对、治理设施效能评估、企业环境自我管理等重要手段。</w:t>
      </w:r>
    </w:p>
    <w:p w14:paraId="1B103FD3">
      <w:pPr>
        <w:widowControl/>
        <w:spacing w:line="360" w:lineRule="auto"/>
        <w:ind w:firstLine="482"/>
        <w:jc w:val="left"/>
        <w:rPr>
          <w:rFonts w:hint="eastAsia" w:ascii="宋体" w:hAnsi="宋体" w:cs="宋体"/>
          <w:sz w:val="24"/>
          <w:szCs w:val="24"/>
        </w:rPr>
      </w:pPr>
      <w:r>
        <w:rPr>
          <w:rFonts w:hint="eastAsia" w:ascii="宋体" w:hAnsi="宋体" w:cs="宋体"/>
          <w:sz w:val="24"/>
          <w:szCs w:val="24"/>
        </w:rPr>
        <w:t>非甲烷总烃便携式现场检测是污染排放实时动态监控的有效技术手段，具有灵敏度高、响应时间快、数据可靠和现场适应性强等优点，对我省提高环境监测的效率，提升环保监控的现代化水平，对陕西省生态保护修复具有重大意义。</w:t>
      </w:r>
    </w:p>
    <w:p w14:paraId="6351A558">
      <w:pPr>
        <w:widowControl/>
        <w:spacing w:line="360" w:lineRule="auto"/>
        <w:ind w:firstLine="482"/>
        <w:jc w:val="left"/>
        <w:rPr>
          <w:rFonts w:hint="eastAsia" w:ascii="宋体" w:hAnsi="宋体" w:cs="宋体"/>
          <w:sz w:val="24"/>
          <w:szCs w:val="24"/>
        </w:rPr>
      </w:pPr>
      <w:r>
        <w:rPr>
          <w:rFonts w:hint="eastAsia" w:ascii="宋体" w:hAnsi="宋体" w:cs="宋体"/>
          <w:sz w:val="24"/>
          <w:szCs w:val="24"/>
        </w:rPr>
        <w:t>目前新国标虽已经推出，但是相关单位对于适用范围、监测方案、现场操作细则等并不是非常清楚，缺乏明确的现场操作技术规范</w:t>
      </w:r>
      <w:r>
        <w:rPr>
          <w:rFonts w:hint="eastAsia" w:ascii="宋体" w:hAnsi="宋体" w:cs="宋体"/>
          <w:sz w:val="24"/>
          <w:szCs w:val="24"/>
          <w:lang w:eastAsia="zh-CN"/>
        </w:rPr>
        <w:t>。</w:t>
      </w:r>
      <w:r>
        <w:rPr>
          <w:rFonts w:hint="eastAsia" w:ascii="宋体" w:hAnsi="宋体" w:cs="宋体"/>
          <w:sz w:val="24"/>
          <w:szCs w:val="24"/>
        </w:rPr>
        <w:t>因此</w:t>
      </w:r>
      <w:r>
        <w:rPr>
          <w:rFonts w:hint="eastAsia" w:ascii="宋体" w:hAnsi="宋体" w:cs="宋体"/>
          <w:sz w:val="24"/>
          <w:szCs w:val="24"/>
          <w:lang w:eastAsia="zh-CN"/>
        </w:rPr>
        <w:t>，</w:t>
      </w:r>
      <w:r>
        <w:rPr>
          <w:rFonts w:hint="eastAsia" w:ascii="宋体" w:hAnsi="宋体" w:cs="宋体"/>
          <w:sz w:val="24"/>
          <w:szCs w:val="24"/>
        </w:rPr>
        <w:t>为提高非甲烷总烃现场监测的管理水平，保证现场检测数据的准确性和权威性，迫切需要制定污染源非甲烷总烃现场</w:t>
      </w:r>
      <w:r>
        <w:rPr>
          <w:rFonts w:hint="eastAsia" w:ascii="宋体" w:hAnsi="宋体" w:cs="宋体"/>
          <w:sz w:val="24"/>
          <w:szCs w:val="24"/>
          <w:lang w:val="en-US" w:eastAsia="zh-CN"/>
        </w:rPr>
        <w:t>监</w:t>
      </w:r>
      <w:r>
        <w:rPr>
          <w:rFonts w:hint="eastAsia" w:ascii="宋体" w:hAnsi="宋体" w:cs="宋体"/>
          <w:sz w:val="24"/>
          <w:szCs w:val="24"/>
        </w:rPr>
        <w:t>测</w:t>
      </w:r>
      <w:r>
        <w:rPr>
          <w:rFonts w:hint="eastAsia" w:ascii="宋体" w:hAnsi="宋体" w:cs="宋体"/>
          <w:sz w:val="24"/>
          <w:szCs w:val="24"/>
          <w:lang w:val="en-US" w:eastAsia="zh-CN"/>
        </w:rPr>
        <w:t>的</w:t>
      </w:r>
      <w:r>
        <w:rPr>
          <w:rFonts w:hint="eastAsia" w:ascii="宋体" w:hAnsi="宋体" w:cs="宋体"/>
          <w:sz w:val="24"/>
          <w:szCs w:val="24"/>
        </w:rPr>
        <w:t>相关</w:t>
      </w:r>
      <w:r>
        <w:rPr>
          <w:rFonts w:hint="eastAsia" w:ascii="宋体" w:hAnsi="宋体" w:cs="宋体"/>
          <w:sz w:val="24"/>
          <w:szCs w:val="24"/>
          <w:lang w:val="en-US" w:eastAsia="zh-CN"/>
        </w:rPr>
        <w:t>标准</w:t>
      </w:r>
      <w:r>
        <w:rPr>
          <w:rFonts w:hint="eastAsia" w:ascii="宋体" w:hAnsi="宋体" w:cs="宋体"/>
          <w:sz w:val="24"/>
          <w:szCs w:val="24"/>
        </w:rPr>
        <w:t>。</w:t>
      </w:r>
    </w:p>
    <w:p w14:paraId="0559B1E1">
      <w:pPr>
        <w:pStyle w:val="3"/>
        <w:rPr>
          <w:rFonts w:ascii="Times New Roman" w:hAnsi="Times New Roman" w:eastAsia="黑体"/>
          <w:kern w:val="2"/>
          <w:sz w:val="24"/>
        </w:rPr>
      </w:pPr>
      <w:bookmarkStart w:id="11" w:name="_Toc12419"/>
      <w:bookmarkStart w:id="12" w:name="_Toc9664"/>
      <w:r>
        <w:rPr>
          <w:rFonts w:hint="eastAsia" w:ascii="Times New Roman" w:hAnsi="Times New Roman" w:eastAsia="黑体"/>
          <w:kern w:val="2"/>
          <w:sz w:val="24"/>
        </w:rPr>
        <w:t>2.1标准编制的必要性</w:t>
      </w:r>
      <w:bookmarkEnd w:id="11"/>
      <w:bookmarkEnd w:id="12"/>
    </w:p>
    <w:p w14:paraId="552D978A">
      <w:pPr>
        <w:pStyle w:val="3"/>
        <w:rPr>
          <w:rFonts w:hint="eastAsia" w:ascii="Times New Roman" w:hAnsi="黑体" w:eastAsia="黑体"/>
          <w:kern w:val="2"/>
          <w:sz w:val="24"/>
        </w:rPr>
      </w:pPr>
      <w:bookmarkStart w:id="13" w:name="_Toc6151"/>
      <w:bookmarkStart w:id="14" w:name="_Toc4321"/>
      <w:r>
        <w:rPr>
          <w:rFonts w:hint="eastAsia" w:ascii="Times New Roman" w:hAnsi="Times New Roman" w:eastAsia="黑体"/>
          <w:kern w:val="2"/>
          <w:sz w:val="24"/>
        </w:rPr>
        <w:t>2.1.1</w:t>
      </w:r>
      <w:bookmarkEnd w:id="13"/>
      <w:bookmarkEnd w:id="14"/>
      <w:r>
        <w:rPr>
          <w:rFonts w:hint="eastAsia" w:ascii="Times New Roman" w:hAnsi="黑体" w:eastAsia="黑体"/>
          <w:kern w:val="2"/>
          <w:sz w:val="24"/>
        </w:rPr>
        <w:t>满足人民群众对优美生态环境的需要</w:t>
      </w:r>
    </w:p>
    <w:p w14:paraId="0D50F56E">
      <w:pPr>
        <w:spacing w:line="360" w:lineRule="auto"/>
        <w:ind w:firstLine="480" w:firstLineChars="200"/>
        <w:rPr>
          <w:rFonts w:hint="eastAsia" w:hAnsi="宋体"/>
          <w:sz w:val="24"/>
          <w:szCs w:val="24"/>
        </w:rPr>
      </w:pPr>
      <w:r>
        <w:rPr>
          <w:rFonts w:hint="eastAsia" w:hAnsi="宋体"/>
          <w:sz w:val="24"/>
          <w:szCs w:val="24"/>
        </w:rPr>
        <w:t>党的十九大报告中指出：“我们要建设的现代化是人与自然和谐共生的现代化，既要创造更多物质财富和精神财富以满足人民日益增长的美好生活需要，也要提供更多优质生态产品以满足人民日益增长的优美生态环境需要。从“求生存”到“求生态”，人民群众对清新空气，绿色生态环境的需求更为迫切。</w:t>
      </w:r>
    </w:p>
    <w:p w14:paraId="7629E801">
      <w:pPr>
        <w:spacing w:line="360" w:lineRule="auto"/>
        <w:ind w:firstLine="480" w:firstLineChars="200"/>
        <w:rPr>
          <w:rFonts w:hint="eastAsia" w:hAnsi="宋体"/>
          <w:sz w:val="24"/>
          <w:szCs w:val="24"/>
        </w:rPr>
      </w:pPr>
      <w:r>
        <w:rPr>
          <w:rFonts w:hAnsi="宋体"/>
          <w:sz w:val="24"/>
          <w:szCs w:val="24"/>
        </w:rPr>
        <w:t>总烃是指在规定的测定条件下，在气相色谱仪的氢火焰离子化检测器上有响应的气态有机化合物的总和，减去甲烷部分，即为非甲烷总烃。</w:t>
      </w:r>
    </w:p>
    <w:p w14:paraId="3A6926A8">
      <w:pPr>
        <w:spacing w:line="360" w:lineRule="auto"/>
        <w:ind w:firstLine="480" w:firstLineChars="200"/>
        <w:rPr>
          <w:rFonts w:hint="eastAsia" w:hAnsi="宋体"/>
          <w:sz w:val="24"/>
          <w:szCs w:val="24"/>
        </w:rPr>
      </w:pPr>
      <w:r>
        <w:rPr>
          <w:rFonts w:hAnsi="宋体"/>
          <w:sz w:val="24"/>
          <w:szCs w:val="24"/>
        </w:rPr>
        <w:t>甲烷在大多数光化学反应中呈惰性，因此目前国内排放标准中常用非甲烷总烃（Non-Methane Hydrocarbon，NMHC）作为</w:t>
      </w:r>
      <w:r>
        <w:rPr>
          <w:rFonts w:hint="eastAsia" w:hAnsi="宋体"/>
          <w:sz w:val="24"/>
          <w:szCs w:val="24"/>
        </w:rPr>
        <w:t>VOCs管控中总量控制指标，</w:t>
      </w:r>
      <w:r>
        <w:rPr>
          <w:rFonts w:hAnsi="宋体"/>
          <w:sz w:val="24"/>
          <w:szCs w:val="24"/>
        </w:rPr>
        <w:t>其测定范围是一大类混合物，而不是某一种具体污染物，</w:t>
      </w:r>
      <w:r>
        <w:rPr>
          <w:rFonts w:hint="eastAsia" w:hAnsi="宋体"/>
          <w:sz w:val="24"/>
          <w:szCs w:val="24"/>
        </w:rPr>
        <w:t>非甲烷总烃浓度高，一般说明废气中有机污染物含量高，超过一定浓度，对人体有直接危害，</w:t>
      </w:r>
      <w:r>
        <w:rPr>
          <w:rFonts w:hAnsi="宋体"/>
          <w:sz w:val="24"/>
          <w:szCs w:val="24"/>
        </w:rPr>
        <w:t>大体的危害如下：影响中枢神经系统，出现头晕、头痛、无力、胸闷等症状；感觉性刺激，嗅味不舒适，刺激上呼吸道及皮肤；影响消化系统，出现食欲不振、恶心等；怀疑性危害：局部组织炎症反应、过敏反应、神经毒性作用。能引起机体免疫水平失调，严重时可损伤肝脏和造血系统，出现变态反应等。</w:t>
      </w:r>
    </w:p>
    <w:p w14:paraId="7B1513B8">
      <w:pPr>
        <w:spacing w:line="360" w:lineRule="auto"/>
        <w:ind w:firstLine="480" w:firstLineChars="200"/>
        <w:rPr>
          <w:rFonts w:hint="eastAsia" w:hAnsi="宋体"/>
          <w:sz w:val="24"/>
          <w:szCs w:val="24"/>
        </w:rPr>
      </w:pPr>
      <w:r>
        <w:rPr>
          <w:rFonts w:hAnsi="宋体"/>
          <w:sz w:val="24"/>
          <w:szCs w:val="24"/>
        </w:rPr>
        <w:t>非甲烷总烃与当地的污染源类型以及气象条件密切相关，主要来源于汽车尾气、汽油挥发、工业排放、燃烧源和植物排放等。</w:t>
      </w:r>
      <w:r>
        <w:rPr>
          <w:rFonts w:hint="eastAsia" w:hAnsi="宋体"/>
          <w:sz w:val="24"/>
          <w:szCs w:val="24"/>
        </w:rPr>
        <w:t>在一定条件下大气中的烃类与氮氧化物经日光照射产生一系列光化学反应而形成光化学烟雾，对城市臭氧和灰霾等复合型大气污染的形成也至关重要。</w:t>
      </w:r>
    </w:p>
    <w:p w14:paraId="2BC53F03">
      <w:pPr>
        <w:spacing w:line="360" w:lineRule="auto"/>
        <w:ind w:firstLine="480" w:firstLineChars="200"/>
        <w:rPr>
          <w:rFonts w:hint="eastAsia" w:hAnsi="宋体"/>
          <w:sz w:val="24"/>
          <w:szCs w:val="24"/>
        </w:rPr>
      </w:pPr>
      <w:r>
        <w:rPr>
          <w:rFonts w:hAnsi="宋体"/>
          <w:sz w:val="24"/>
          <w:szCs w:val="24"/>
        </w:rPr>
        <w:t>综上所述，为了减少空气污染，对人为活动产生的非甲烷总烃有机污染物进行环境管理十分必要。</w:t>
      </w:r>
    </w:p>
    <w:p w14:paraId="5BE4803A">
      <w:pPr>
        <w:pStyle w:val="3"/>
        <w:rPr>
          <w:rFonts w:hint="eastAsia" w:ascii="Times New Roman" w:hAnsi="黑体" w:eastAsia="黑体"/>
          <w:kern w:val="2"/>
          <w:sz w:val="24"/>
        </w:rPr>
      </w:pPr>
      <w:bookmarkStart w:id="15" w:name="_Toc22018"/>
      <w:bookmarkStart w:id="16" w:name="_Toc12644"/>
      <w:r>
        <w:rPr>
          <w:rFonts w:hint="eastAsia" w:ascii="Times New Roman" w:hAnsi="Times New Roman" w:eastAsia="黑体"/>
          <w:kern w:val="2"/>
          <w:sz w:val="24"/>
        </w:rPr>
        <w:t>2.1.2</w:t>
      </w:r>
      <w:bookmarkEnd w:id="15"/>
      <w:bookmarkEnd w:id="16"/>
      <w:r>
        <w:rPr>
          <w:rFonts w:hint="eastAsia" w:ascii="Times New Roman" w:hAnsi="黑体" w:eastAsia="黑体"/>
          <w:kern w:val="2"/>
          <w:sz w:val="24"/>
        </w:rPr>
        <w:t>完善省级生态环境标准体系的需要</w:t>
      </w:r>
    </w:p>
    <w:p w14:paraId="13ED2B7B">
      <w:pPr>
        <w:adjustRightInd w:val="0"/>
        <w:snapToGrid w:val="0"/>
        <w:spacing w:line="360" w:lineRule="auto"/>
        <w:ind w:firstLine="480" w:firstLineChars="200"/>
        <w:jc w:val="left"/>
        <w:rPr>
          <w:rFonts w:hint="eastAsia" w:hAnsi="宋体"/>
          <w:bCs/>
          <w:sz w:val="24"/>
          <w:szCs w:val="24"/>
        </w:rPr>
      </w:pPr>
      <w:r>
        <w:rPr>
          <w:rFonts w:hint="eastAsia" w:hAnsi="宋体"/>
          <w:bCs/>
          <w:sz w:val="24"/>
          <w:szCs w:val="24"/>
        </w:rPr>
        <w:t>固定污染源废气总烃、甲烷和非甲烷总烃便携式氢火焰离子化检测器法是污染排放实时动态监控的有效技术手段，具有灵敏度高、响应时间快、数据可靠和现场适应性强等优点，为环境管理和环境执法提供依据，对提高环境监测的效率，具有重要的意义。目前新国标将于2024年7月1日开始实行，为提高陕西省内非甲烷总烃现场监测的管理水平，保证现场</w:t>
      </w:r>
      <w:r>
        <w:rPr>
          <w:rFonts w:hint="eastAsia" w:hAnsi="宋体"/>
          <w:bCs/>
          <w:sz w:val="24"/>
          <w:szCs w:val="24"/>
          <w:lang w:val="en-US" w:eastAsia="zh-CN"/>
        </w:rPr>
        <w:t>监</w:t>
      </w:r>
      <w:r>
        <w:rPr>
          <w:rFonts w:hint="eastAsia" w:hAnsi="宋体"/>
          <w:bCs/>
          <w:sz w:val="24"/>
          <w:szCs w:val="24"/>
        </w:rPr>
        <w:t>测数据的准确性和权威性，迫切需要制定适用于陕西省内的污染源现场非甲烷总烃监测技术</w:t>
      </w:r>
      <w:r>
        <w:rPr>
          <w:rFonts w:hint="eastAsia" w:hAnsi="宋体"/>
          <w:bCs/>
          <w:sz w:val="24"/>
          <w:szCs w:val="24"/>
          <w:lang w:val="en-US" w:eastAsia="zh-CN"/>
        </w:rPr>
        <w:t>规范</w:t>
      </w:r>
      <w:r>
        <w:rPr>
          <w:rFonts w:hint="eastAsia" w:hAnsi="宋体"/>
          <w:bCs/>
          <w:sz w:val="24"/>
          <w:szCs w:val="24"/>
        </w:rPr>
        <w:t>，将有效解决以下几个问题：</w:t>
      </w:r>
    </w:p>
    <w:p w14:paraId="49D18F74">
      <w:pPr>
        <w:adjustRightInd w:val="0"/>
        <w:snapToGrid w:val="0"/>
        <w:spacing w:line="360" w:lineRule="auto"/>
        <w:ind w:firstLine="480" w:firstLineChars="200"/>
        <w:jc w:val="left"/>
        <w:rPr>
          <w:rFonts w:hint="eastAsia" w:hAnsi="宋体"/>
          <w:bCs/>
          <w:sz w:val="24"/>
          <w:szCs w:val="24"/>
        </w:rPr>
      </w:pPr>
      <w:r>
        <w:rPr>
          <w:rFonts w:hint="eastAsia" w:hAnsi="宋体"/>
          <w:bCs/>
          <w:sz w:val="24"/>
          <w:szCs w:val="24"/>
        </w:rPr>
        <w:t>1）对方法标准中监测位置、现场频次进行规定，旨在强化现场操作工作中监测位置的选择和频次的选择，有利于数据更具有代表性；</w:t>
      </w:r>
    </w:p>
    <w:p w14:paraId="18740A5E">
      <w:pPr>
        <w:adjustRightInd w:val="0"/>
        <w:snapToGrid w:val="0"/>
        <w:spacing w:line="360" w:lineRule="auto"/>
        <w:ind w:firstLine="480" w:firstLineChars="200"/>
        <w:jc w:val="left"/>
        <w:rPr>
          <w:rFonts w:hint="eastAsia" w:hAnsi="宋体"/>
          <w:bCs/>
          <w:sz w:val="24"/>
          <w:szCs w:val="24"/>
        </w:rPr>
      </w:pPr>
      <w:r>
        <w:rPr>
          <w:rFonts w:hint="eastAsia" w:hAnsi="宋体"/>
          <w:bCs/>
          <w:sz w:val="24"/>
          <w:szCs w:val="24"/>
        </w:rPr>
        <w:t>2）对测样前仪器准备进行细化，要求设备测样前需做好预热和气密性工作；</w:t>
      </w:r>
    </w:p>
    <w:p w14:paraId="40A91129">
      <w:pPr>
        <w:adjustRightInd w:val="0"/>
        <w:snapToGrid w:val="0"/>
        <w:spacing w:line="360" w:lineRule="auto"/>
        <w:ind w:firstLine="480" w:firstLineChars="200"/>
        <w:jc w:val="left"/>
        <w:rPr>
          <w:rFonts w:hint="eastAsia" w:hAnsi="宋体"/>
          <w:bCs/>
          <w:sz w:val="24"/>
          <w:szCs w:val="24"/>
        </w:rPr>
      </w:pPr>
      <w:r>
        <w:rPr>
          <w:rFonts w:hint="eastAsia" w:hAnsi="宋体"/>
          <w:bCs/>
          <w:sz w:val="24"/>
          <w:szCs w:val="24"/>
        </w:rPr>
        <w:t>3）对仪器质</w:t>
      </w:r>
      <w:r>
        <w:rPr>
          <w:bCs/>
          <w:sz w:val="24"/>
          <w:szCs w:val="24"/>
        </w:rPr>
        <w:t>控校准进行补充，增加总烃≥10 μmol/mol、甲烷的测定结果＜10 μmol/mol要求；</w:t>
      </w:r>
    </w:p>
    <w:p w14:paraId="4F449277">
      <w:pPr>
        <w:adjustRightInd w:val="0"/>
        <w:snapToGrid w:val="0"/>
        <w:spacing w:line="360" w:lineRule="auto"/>
        <w:ind w:firstLine="480" w:firstLineChars="200"/>
        <w:jc w:val="left"/>
        <w:rPr>
          <w:rFonts w:hint="eastAsia" w:hAnsi="宋体"/>
          <w:bCs/>
          <w:sz w:val="24"/>
          <w:szCs w:val="24"/>
        </w:rPr>
      </w:pPr>
      <w:r>
        <w:rPr>
          <w:rFonts w:hint="eastAsia" w:hAnsi="宋体"/>
          <w:bCs/>
          <w:sz w:val="24"/>
          <w:szCs w:val="24"/>
        </w:rPr>
        <w:t>4）对样品测定过程中湿度的同步测量进行约束，指明湿度测量要求同步非甲烷总烃测量，但是湿度计算可以是仪器自行完成也可以是手动计算完成，体现同步测试湿度重要性。</w:t>
      </w:r>
    </w:p>
    <w:p w14:paraId="51C58434">
      <w:pPr>
        <w:adjustRightInd w:val="0"/>
        <w:snapToGrid w:val="0"/>
        <w:spacing w:line="360" w:lineRule="auto"/>
        <w:ind w:firstLine="480" w:firstLineChars="200"/>
        <w:jc w:val="left"/>
        <w:rPr>
          <w:rFonts w:hint="eastAsia" w:hAnsi="宋体"/>
          <w:sz w:val="24"/>
          <w:szCs w:val="24"/>
        </w:rPr>
      </w:pPr>
      <w:r>
        <w:rPr>
          <w:rFonts w:hint="eastAsia" w:hAnsi="宋体"/>
          <w:sz w:val="24"/>
          <w:szCs w:val="24"/>
          <w:lang w:val="en-US" w:eastAsia="zh-CN"/>
        </w:rPr>
        <w:t>本指南</w:t>
      </w:r>
      <w:r>
        <w:rPr>
          <w:rFonts w:hint="eastAsia" w:hAnsi="宋体"/>
          <w:sz w:val="24"/>
          <w:szCs w:val="24"/>
        </w:rPr>
        <w:t>的发布，将有助于陕西省在非甲烷总烃现场监测实践更加具体和细化，帮助现场人员更加高效、高质量完成现场监测工作。</w:t>
      </w:r>
    </w:p>
    <w:p w14:paraId="60A9B95A">
      <w:pPr>
        <w:adjustRightInd w:val="0"/>
        <w:snapToGrid w:val="0"/>
        <w:spacing w:line="360" w:lineRule="auto"/>
        <w:ind w:firstLine="480" w:firstLineChars="200"/>
        <w:jc w:val="left"/>
        <w:rPr>
          <w:rFonts w:hint="eastAsia" w:hAnsi="宋体"/>
          <w:sz w:val="24"/>
          <w:szCs w:val="24"/>
        </w:rPr>
      </w:pPr>
    </w:p>
    <w:p w14:paraId="577FD996">
      <w:pPr>
        <w:pStyle w:val="3"/>
        <w:rPr>
          <w:rFonts w:ascii="Times New Roman" w:hAnsi="Times New Roman" w:eastAsia="黑体"/>
          <w:kern w:val="2"/>
          <w:sz w:val="24"/>
        </w:rPr>
      </w:pPr>
      <w:bookmarkStart w:id="17" w:name="_Toc7490"/>
      <w:bookmarkStart w:id="18" w:name="_Toc838"/>
      <w:r>
        <w:rPr>
          <w:rFonts w:hint="eastAsia" w:ascii="Times New Roman" w:hAnsi="Times New Roman" w:eastAsia="黑体"/>
          <w:kern w:val="2"/>
          <w:sz w:val="24"/>
        </w:rPr>
        <w:t>2.1.3</w:t>
      </w:r>
      <w:bookmarkEnd w:id="17"/>
      <w:bookmarkEnd w:id="18"/>
      <w:r>
        <w:rPr>
          <w:rFonts w:ascii="Times New Roman" w:hAnsi="黑体" w:eastAsia="黑体"/>
          <w:kern w:val="2"/>
          <w:sz w:val="24"/>
        </w:rPr>
        <w:t>是</w:t>
      </w:r>
      <w:r>
        <w:rPr>
          <w:rFonts w:hint="eastAsia" w:ascii="Times New Roman" w:hAnsi="黑体" w:eastAsia="黑体"/>
          <w:kern w:val="2"/>
          <w:sz w:val="24"/>
        </w:rPr>
        <w:t>落实国家和省有关要求的需要</w:t>
      </w:r>
    </w:p>
    <w:p w14:paraId="56D61E91">
      <w:pPr>
        <w:spacing w:line="360" w:lineRule="auto"/>
        <w:ind w:firstLine="480" w:firstLineChars="200"/>
        <w:rPr>
          <w:rFonts w:hint="eastAsia" w:hAnsi="宋体"/>
          <w:bCs/>
          <w:sz w:val="24"/>
          <w:szCs w:val="24"/>
        </w:rPr>
      </w:pPr>
      <w:r>
        <w:rPr>
          <w:rFonts w:hint="eastAsia" w:hAnsi="宋体"/>
          <w:bCs/>
          <w:sz w:val="24"/>
          <w:szCs w:val="24"/>
        </w:rPr>
        <w:t>《“十三五”挥发性有机物污染防治工作方案》《重点行业挥发性有机物综合治理方案》等一系列政策方案的出台，极大的推动了VOCs治理和监测工作发展。生态环境部印发《2020年挥发性有机物治理攻坚方案》，要求把夏季VOCs攻坚行动放在重要位置，作为打赢蓝天保卫战的关键举措。</w:t>
      </w:r>
      <w:r>
        <w:rPr>
          <w:rFonts w:hAnsi="宋体"/>
          <w:bCs/>
          <w:sz w:val="24"/>
          <w:szCs w:val="24"/>
        </w:rPr>
        <w:t>传统的污染源废气中甲烷、非甲烷总烃、总烃的测定依赖于实验室阶段，主要以现场采集样品，转交实验室用GC-FID检测、分析。《挥发性有机物无组织排放控制标准》（GB 37822-2019）中厂区内VOCs已经明确采用便携式监测仪器开展监测，新国标</w:t>
      </w:r>
      <w:r>
        <w:rPr>
          <w:rFonts w:hint="eastAsia" w:hAnsi="宋体"/>
          <w:bCs/>
          <w:sz w:val="24"/>
          <w:szCs w:val="24"/>
        </w:rPr>
        <w:t>HJ1331-2023、HJ1332-2023的推出，更是有法可依，</w:t>
      </w:r>
      <w:r>
        <w:rPr>
          <w:rFonts w:hAnsi="宋体"/>
          <w:bCs/>
          <w:sz w:val="24"/>
          <w:szCs w:val="24"/>
        </w:rPr>
        <w:t>因此制订可操作性强的</w:t>
      </w:r>
      <w:r>
        <w:rPr>
          <w:rFonts w:hint="eastAsia" w:hAnsi="宋体"/>
          <w:bCs/>
          <w:sz w:val="24"/>
          <w:szCs w:val="24"/>
          <w:lang w:val="en-US" w:eastAsia="zh-CN"/>
        </w:rPr>
        <w:t>适用于</w:t>
      </w:r>
      <w:r>
        <w:rPr>
          <w:rFonts w:hAnsi="宋体"/>
          <w:bCs/>
          <w:sz w:val="24"/>
          <w:szCs w:val="24"/>
        </w:rPr>
        <w:t>总烃、甲烷和非甲烷总烃</w:t>
      </w:r>
      <w:r>
        <w:rPr>
          <w:rFonts w:hint="eastAsia" w:hAnsi="宋体"/>
          <w:bCs/>
          <w:sz w:val="24"/>
          <w:szCs w:val="24"/>
          <w:lang w:val="en-US" w:eastAsia="zh-CN"/>
        </w:rPr>
        <w:t>的</w:t>
      </w:r>
      <w:r>
        <w:rPr>
          <w:rFonts w:hAnsi="宋体"/>
          <w:bCs/>
          <w:sz w:val="24"/>
          <w:szCs w:val="24"/>
        </w:rPr>
        <w:t>便携式现场</w:t>
      </w:r>
      <w:r>
        <w:rPr>
          <w:rFonts w:hint="eastAsia" w:hAnsi="宋体"/>
          <w:bCs/>
          <w:sz w:val="24"/>
          <w:szCs w:val="24"/>
          <w:lang w:val="en-US" w:eastAsia="zh-CN"/>
        </w:rPr>
        <w:t>监测</w:t>
      </w:r>
      <w:r>
        <w:rPr>
          <w:rFonts w:hAnsi="宋体"/>
          <w:bCs/>
          <w:sz w:val="24"/>
          <w:szCs w:val="24"/>
        </w:rPr>
        <w:t>技术</w:t>
      </w:r>
      <w:r>
        <w:rPr>
          <w:rFonts w:hint="eastAsia" w:hAnsi="宋体"/>
          <w:bCs/>
          <w:sz w:val="24"/>
          <w:szCs w:val="24"/>
          <w:lang w:val="en-US" w:eastAsia="zh-CN"/>
        </w:rPr>
        <w:t>规范</w:t>
      </w:r>
      <w:r>
        <w:rPr>
          <w:rFonts w:hAnsi="宋体"/>
          <w:bCs/>
          <w:sz w:val="24"/>
          <w:szCs w:val="24"/>
        </w:rPr>
        <w:t>显得尤为必要。</w:t>
      </w:r>
    </w:p>
    <w:p w14:paraId="45FF075E">
      <w:pPr>
        <w:pStyle w:val="3"/>
        <w:rPr>
          <w:rFonts w:ascii="Times New Roman" w:hAnsi="Times New Roman" w:eastAsia="黑体"/>
          <w:kern w:val="2"/>
          <w:sz w:val="24"/>
        </w:rPr>
      </w:pPr>
      <w:bookmarkStart w:id="19" w:name="_Toc17678"/>
      <w:bookmarkStart w:id="20" w:name="_Toc19108"/>
      <w:r>
        <w:rPr>
          <w:rFonts w:ascii="Times New Roman" w:hAnsi="Times New Roman" w:eastAsia="黑体"/>
          <w:kern w:val="2"/>
          <w:sz w:val="24"/>
        </w:rPr>
        <w:t>2.</w:t>
      </w:r>
      <w:r>
        <w:rPr>
          <w:rFonts w:hint="eastAsia" w:ascii="Times New Roman" w:hAnsi="Times New Roman" w:eastAsia="黑体"/>
          <w:kern w:val="2"/>
          <w:sz w:val="24"/>
        </w:rPr>
        <w:t>2</w:t>
      </w:r>
      <w:bookmarkEnd w:id="19"/>
      <w:bookmarkEnd w:id="20"/>
      <w:r>
        <w:rPr>
          <w:rFonts w:hint="eastAsia" w:ascii="Times New Roman" w:hAnsi="Times New Roman" w:eastAsia="黑体"/>
          <w:kern w:val="2"/>
          <w:sz w:val="24"/>
        </w:rPr>
        <w:t xml:space="preserve"> 现有方法规范的局限性</w:t>
      </w:r>
    </w:p>
    <w:p w14:paraId="530FB06C">
      <w:pPr>
        <w:pStyle w:val="19"/>
        <w:ind w:left="0" w:leftChars="0" w:firstLine="480" w:firstLineChars="200"/>
      </w:pPr>
      <w:r>
        <w:t>目前，固定污染源废气非甲烷总烃监测方法标准有《固定污染源废气 总烃、甲烷和非甲烷总烃的测定 便携式催化氧化-氢火焰离子化检测器法》（HJ 1331-2023）与《固定污染源废气 总烃、甲烷和非甲烷总烃的测定 便携式气相色谱-氢火焰离子化检测器法》（HJ 1332-2023）两项方法标准。两项方法标准将于2024年7月1日开始实行，标准适用</w:t>
      </w:r>
      <w:r>
        <w:rPr>
          <w:rFonts w:hint="eastAsia"/>
        </w:rPr>
        <w:t>于固定污染源有组织排放废气中总烃、甲烷和非甲烷总烃的测定，对固定污染源废气中总烃、甲烷和非甲烷总烃的便携式现场监测方法进行了方法原理、干扰和消除、试剂和材料、仪器和设备、样品、分析步骤和结果计算等规定，其中对于现场监测如何开展细节方面缺少体现，不利于现场实施。</w:t>
      </w:r>
    </w:p>
    <w:p w14:paraId="26AE3631">
      <w:pPr>
        <w:pStyle w:val="19"/>
        <w:ind w:left="0" w:leftChars="0" w:firstLine="480" w:firstLineChars="200"/>
      </w:pPr>
      <w:r>
        <w:t>目前在国标的基础上，重点对下述3点进行完善，更加有利于便携式非甲烷总烃现场作业：（1）增加了排气筒烟气参数的测定，标准中强调了湿度的测定，实际上在非甲烷总烃现场监测过程中，某些行业规定也需要进行氧含量的测试。（2）补充质控要求中若样品总烃≥10 μmol/mol、甲烷的测定结果＜10 μmol/mol的指标要求，国标中只描述了总烃、甲烷大于等于或小于等于10μmol/mol的情况。（3）细化水分测定的方法，按照GB/T11605规定执行，测试结果可软件计算，也可以手动计算。</w:t>
      </w:r>
    </w:p>
    <w:p w14:paraId="2F51F1B8">
      <w:pPr>
        <w:pStyle w:val="19"/>
        <w:ind w:left="0" w:leftChars="0" w:firstLine="480" w:firstLineChars="200"/>
      </w:pPr>
      <w:r>
        <w:rPr>
          <w:rFonts w:hint="eastAsia"/>
        </w:rPr>
        <w:t>针对这些空白，根据实际环境监测及管理需求，急需出台相关的</w:t>
      </w:r>
      <w:r>
        <w:rPr>
          <w:rFonts w:hint="eastAsia"/>
          <w:lang w:val="en-US" w:eastAsia="zh-CN"/>
        </w:rPr>
        <w:t>标准</w:t>
      </w:r>
      <w:r>
        <w:rPr>
          <w:rFonts w:hint="eastAsia"/>
        </w:rPr>
        <w:t>，对其中细节进行补充完善，以便更好的进行非甲烷总烃现场监测。</w:t>
      </w:r>
    </w:p>
    <w:p w14:paraId="3DB49121">
      <w:pPr>
        <w:spacing w:line="360" w:lineRule="auto"/>
        <w:ind w:firstLine="480" w:firstLineChars="200"/>
        <w:rPr>
          <w:sz w:val="24"/>
          <w:szCs w:val="24"/>
        </w:rPr>
      </w:pPr>
      <w:r>
        <w:rPr>
          <w:rFonts w:hint="eastAsia"/>
          <w:sz w:val="24"/>
          <w:szCs w:val="24"/>
          <w:lang w:val="en-US" w:eastAsia="zh-CN"/>
        </w:rPr>
        <w:t>综上所述</w:t>
      </w:r>
      <w:r>
        <w:rPr>
          <w:sz w:val="24"/>
          <w:szCs w:val="24"/>
        </w:rPr>
        <w:t>，编制《</w:t>
      </w:r>
      <w:r>
        <w:rPr>
          <w:rFonts w:hint="eastAsia"/>
          <w:sz w:val="24"/>
          <w:szCs w:val="24"/>
        </w:rPr>
        <w:t>固定污染源废气 总烃、甲烷和非甲烷总烃</w:t>
      </w:r>
      <w:r>
        <w:rPr>
          <w:rFonts w:hint="eastAsia"/>
          <w:sz w:val="24"/>
          <w:szCs w:val="24"/>
          <w:lang w:eastAsia="zh-CN"/>
        </w:rPr>
        <w:t>便携式仪器现场测试技术指南</w:t>
      </w:r>
      <w:r>
        <w:rPr>
          <w:sz w:val="24"/>
          <w:szCs w:val="24"/>
        </w:rPr>
        <w:t>》，一方面</w:t>
      </w:r>
      <w:r>
        <w:rPr>
          <w:rFonts w:hint="eastAsia"/>
          <w:sz w:val="24"/>
          <w:szCs w:val="24"/>
        </w:rPr>
        <w:t>通过</w:t>
      </w:r>
      <w:r>
        <w:rPr>
          <w:sz w:val="24"/>
          <w:szCs w:val="24"/>
        </w:rPr>
        <w:t>对国标</w:t>
      </w:r>
      <w:r>
        <w:rPr>
          <w:rFonts w:hint="eastAsia"/>
          <w:sz w:val="24"/>
          <w:szCs w:val="24"/>
        </w:rPr>
        <w:t>进行</w:t>
      </w:r>
      <w:r>
        <w:rPr>
          <w:sz w:val="24"/>
          <w:szCs w:val="24"/>
        </w:rPr>
        <w:t>梳理</w:t>
      </w:r>
      <w:r>
        <w:rPr>
          <w:rFonts w:hint="eastAsia"/>
          <w:sz w:val="24"/>
          <w:szCs w:val="24"/>
        </w:rPr>
        <w:t>，整合并细化现场监测各环节细节；</w:t>
      </w:r>
      <w:r>
        <w:rPr>
          <w:sz w:val="24"/>
          <w:szCs w:val="24"/>
        </w:rPr>
        <w:t>另一方面对成熟、先进</w:t>
      </w:r>
      <w:r>
        <w:rPr>
          <w:rFonts w:hint="eastAsia"/>
          <w:sz w:val="24"/>
          <w:szCs w:val="24"/>
        </w:rPr>
        <w:t>的</w:t>
      </w:r>
      <w:r>
        <w:rPr>
          <w:sz w:val="24"/>
          <w:szCs w:val="24"/>
        </w:rPr>
        <w:t>非甲烷总烃现场监测技术的应用</w:t>
      </w:r>
      <w:r>
        <w:rPr>
          <w:rFonts w:hint="eastAsia"/>
          <w:sz w:val="24"/>
          <w:szCs w:val="24"/>
        </w:rPr>
        <w:t>进行推广</w:t>
      </w:r>
      <w:r>
        <w:rPr>
          <w:sz w:val="24"/>
          <w:szCs w:val="24"/>
        </w:rPr>
        <w:t>，支持非甲烷总烃采用现场直接测试的方式，</w:t>
      </w:r>
      <w:r>
        <w:rPr>
          <w:rFonts w:hint="eastAsia"/>
          <w:sz w:val="24"/>
          <w:szCs w:val="24"/>
        </w:rPr>
        <w:t>落实总量监测指标科学管理，以</w:t>
      </w:r>
      <w:r>
        <w:rPr>
          <w:sz w:val="24"/>
          <w:szCs w:val="24"/>
        </w:rPr>
        <w:t>满足当前</w:t>
      </w:r>
      <w:r>
        <w:rPr>
          <w:rFonts w:hint="eastAsia"/>
          <w:sz w:val="24"/>
          <w:szCs w:val="24"/>
        </w:rPr>
        <w:t>固定污染源挥发性有机物的监测管理需求。</w:t>
      </w:r>
    </w:p>
    <w:p w14:paraId="151350A1">
      <w:pPr>
        <w:pStyle w:val="2"/>
        <w:rPr>
          <w:rFonts w:eastAsia="黑体"/>
          <w:sz w:val="28"/>
          <w:szCs w:val="28"/>
        </w:rPr>
      </w:pPr>
      <w:bookmarkStart w:id="21" w:name="_Toc387333554"/>
      <w:bookmarkStart w:id="22" w:name="_Toc164795157"/>
      <w:bookmarkStart w:id="23" w:name="_Toc14508"/>
      <w:bookmarkStart w:id="24" w:name="_Toc7438"/>
      <w:r>
        <w:rPr>
          <w:rFonts w:eastAsia="黑体"/>
          <w:sz w:val="28"/>
          <w:szCs w:val="28"/>
        </w:rPr>
        <w:t>3 制定标准的原则和依据</w:t>
      </w:r>
      <w:bookmarkEnd w:id="21"/>
      <w:r>
        <w:rPr>
          <w:rFonts w:eastAsia="黑体"/>
          <w:sz w:val="28"/>
          <w:szCs w:val="28"/>
        </w:rPr>
        <w:t>，与现行法律、法规、标准的关系</w:t>
      </w:r>
      <w:bookmarkEnd w:id="22"/>
      <w:bookmarkEnd w:id="23"/>
      <w:bookmarkEnd w:id="24"/>
    </w:p>
    <w:p w14:paraId="1DB8C8CD">
      <w:pPr>
        <w:pStyle w:val="4"/>
        <w:rPr>
          <w:rFonts w:eastAsia="黑体"/>
          <w:sz w:val="24"/>
          <w:szCs w:val="24"/>
        </w:rPr>
      </w:pPr>
      <w:bookmarkStart w:id="25" w:name="_Toc9510"/>
      <w:r>
        <w:rPr>
          <w:rFonts w:eastAsia="黑体"/>
          <w:sz w:val="24"/>
          <w:szCs w:val="24"/>
        </w:rPr>
        <w:t>3.1</w:t>
      </w:r>
      <w:r>
        <w:rPr>
          <w:rFonts w:hAnsi="黑体" w:eastAsia="黑体"/>
          <w:sz w:val="24"/>
          <w:szCs w:val="24"/>
        </w:rPr>
        <w:t>制定标准的原则</w:t>
      </w:r>
      <w:bookmarkEnd w:id="25"/>
    </w:p>
    <w:p w14:paraId="4F221796">
      <w:pPr>
        <w:spacing w:before="100" w:beforeAutospacing="1" w:after="100" w:afterAutospacing="1" w:line="360" w:lineRule="auto"/>
        <w:ind w:firstLine="480" w:firstLineChars="200"/>
        <w:rPr>
          <w:kern w:val="0"/>
          <w:sz w:val="24"/>
          <w:szCs w:val="24"/>
        </w:rPr>
      </w:pPr>
      <w:r>
        <w:rPr>
          <w:rFonts w:hint="eastAsia"/>
          <w:sz w:val="24"/>
          <w:szCs w:val="24"/>
          <w:lang w:eastAsia="zh-CN"/>
        </w:rPr>
        <w:t>本指南</w:t>
      </w:r>
      <w:r>
        <w:rPr>
          <w:sz w:val="24"/>
          <w:szCs w:val="24"/>
        </w:rPr>
        <w:t>是为配合国家</w:t>
      </w:r>
      <w:r>
        <w:rPr>
          <w:rFonts w:hint="eastAsia"/>
          <w:sz w:val="24"/>
          <w:szCs w:val="24"/>
        </w:rPr>
        <w:t>及地方</w:t>
      </w:r>
      <w:r>
        <w:rPr>
          <w:sz w:val="24"/>
          <w:szCs w:val="24"/>
        </w:rPr>
        <w:t>相关排放标准实施</w:t>
      </w:r>
      <w:r>
        <w:rPr>
          <w:rFonts w:hint="eastAsia"/>
          <w:sz w:val="24"/>
          <w:szCs w:val="24"/>
        </w:rPr>
        <w:t>，满足现阶段环境管理需求</w:t>
      </w:r>
      <w:r>
        <w:rPr>
          <w:sz w:val="24"/>
          <w:szCs w:val="24"/>
        </w:rPr>
        <w:t>而制定的，</w:t>
      </w:r>
      <w:r>
        <w:rPr>
          <w:rFonts w:hint="eastAsia"/>
          <w:sz w:val="24"/>
          <w:szCs w:val="24"/>
          <w:lang w:val="en-US" w:eastAsia="zh-CN"/>
        </w:rPr>
        <w:t>标准</w:t>
      </w:r>
      <w:r>
        <w:rPr>
          <w:rFonts w:hint="eastAsia"/>
          <w:sz w:val="24"/>
          <w:szCs w:val="24"/>
        </w:rPr>
        <w:t>制订过程中充分参考了各类排放标准、技术规范、分析方法标准，并结合监测技术及仪器发展，根据实际监测需求及环境治理管理需求而制订，遵循以下原则：</w:t>
      </w:r>
    </w:p>
    <w:p w14:paraId="11966D13">
      <w:pPr>
        <w:autoSpaceDE w:val="0"/>
        <w:autoSpaceDN w:val="0"/>
        <w:adjustRightInd w:val="0"/>
        <w:spacing w:line="360" w:lineRule="auto"/>
        <w:rPr>
          <w:kern w:val="0"/>
          <w:sz w:val="24"/>
          <w:szCs w:val="24"/>
        </w:rPr>
      </w:pPr>
      <w:r>
        <w:rPr>
          <w:kern w:val="0"/>
          <w:sz w:val="24"/>
          <w:szCs w:val="24"/>
        </w:rPr>
        <w:t>（1）</w:t>
      </w:r>
      <w:r>
        <w:rPr>
          <w:rFonts w:hint="eastAsia"/>
          <w:kern w:val="0"/>
          <w:sz w:val="24"/>
          <w:szCs w:val="24"/>
        </w:rPr>
        <w:t>配套与衔接</w:t>
      </w:r>
      <w:r>
        <w:rPr>
          <w:kern w:val="0"/>
          <w:sz w:val="24"/>
          <w:szCs w:val="24"/>
        </w:rPr>
        <w:t>原则。</w:t>
      </w:r>
    </w:p>
    <w:p w14:paraId="4FE32C0C">
      <w:pPr>
        <w:autoSpaceDE w:val="0"/>
        <w:autoSpaceDN w:val="0"/>
        <w:adjustRightInd w:val="0"/>
        <w:spacing w:line="360" w:lineRule="auto"/>
        <w:ind w:firstLine="480" w:firstLineChars="200"/>
        <w:rPr>
          <w:sz w:val="24"/>
          <w:szCs w:val="24"/>
        </w:rPr>
      </w:pPr>
      <w:r>
        <w:rPr>
          <w:rFonts w:hint="eastAsia"/>
          <w:kern w:val="0"/>
          <w:sz w:val="24"/>
          <w:szCs w:val="24"/>
        </w:rPr>
        <w:t xml:space="preserve"> </w:t>
      </w:r>
      <w:r>
        <w:rPr>
          <w:rFonts w:hint="eastAsia"/>
          <w:kern w:val="0"/>
          <w:sz w:val="24"/>
          <w:szCs w:val="24"/>
          <w:lang w:eastAsia="zh-CN"/>
        </w:rPr>
        <w:t>本指南</w:t>
      </w:r>
      <w:r>
        <w:rPr>
          <w:kern w:val="0"/>
          <w:sz w:val="24"/>
          <w:szCs w:val="24"/>
        </w:rPr>
        <w:t>制定过程充分考虑与</w:t>
      </w:r>
      <w:r>
        <w:rPr>
          <w:rFonts w:hint="eastAsia"/>
          <w:kern w:val="0"/>
          <w:sz w:val="24"/>
          <w:szCs w:val="24"/>
        </w:rPr>
        <w:t>现行相关国家行业排放标准的配套性，充分考虑与</w:t>
      </w:r>
      <w:r>
        <w:rPr>
          <w:kern w:val="0"/>
          <w:sz w:val="24"/>
          <w:szCs w:val="24"/>
        </w:rPr>
        <w:t>现行监测技术</w:t>
      </w:r>
      <w:r>
        <w:rPr>
          <w:rFonts w:hint="eastAsia"/>
          <w:kern w:val="0"/>
          <w:sz w:val="24"/>
          <w:szCs w:val="24"/>
        </w:rPr>
        <w:t>规范及分析方法</w:t>
      </w:r>
      <w:r>
        <w:rPr>
          <w:kern w:val="0"/>
          <w:sz w:val="24"/>
          <w:szCs w:val="24"/>
        </w:rPr>
        <w:t>标准的衔接性</w:t>
      </w:r>
      <w:r>
        <w:rPr>
          <w:rFonts w:hint="eastAsia"/>
          <w:kern w:val="0"/>
          <w:sz w:val="24"/>
          <w:szCs w:val="24"/>
        </w:rPr>
        <w:t>。</w:t>
      </w:r>
      <w:r>
        <w:rPr>
          <w:sz w:val="24"/>
          <w:szCs w:val="24"/>
        </w:rPr>
        <w:t>在编制过程中</w:t>
      </w:r>
      <w:r>
        <w:rPr>
          <w:rFonts w:hint="eastAsia"/>
          <w:sz w:val="24"/>
          <w:szCs w:val="24"/>
        </w:rPr>
        <w:t>参考</w:t>
      </w:r>
      <w:r>
        <w:rPr>
          <w:sz w:val="24"/>
          <w:szCs w:val="24"/>
        </w:rPr>
        <w:t>《固定污染源排气中颗粒物测定与气态污染物采样方法》（GB/T16157-1996）</w:t>
      </w:r>
      <w:r>
        <w:rPr>
          <w:rFonts w:hAnsi="宋体"/>
          <w:sz w:val="24"/>
          <w:szCs w:val="24"/>
        </w:rPr>
        <w:t>、</w:t>
      </w:r>
      <w:r>
        <w:rPr>
          <w:sz w:val="24"/>
          <w:szCs w:val="24"/>
        </w:rPr>
        <w:t>《固定源废气监测技术规范》（HJ/T 397-2007）、</w:t>
      </w:r>
      <w:r>
        <w:rPr>
          <w:rFonts w:hint="eastAsia"/>
          <w:sz w:val="24"/>
          <w:szCs w:val="24"/>
        </w:rPr>
        <w:t>《环境空气和废气 总烃、甲烷和非甲烷总烃便携式监测仪技术要求及检测方法》</w:t>
      </w:r>
      <w:r>
        <w:rPr>
          <w:rFonts w:hAnsi="宋体"/>
          <w:sz w:val="24"/>
          <w:szCs w:val="24"/>
        </w:rPr>
        <w:t>（</w:t>
      </w:r>
      <w:r>
        <w:rPr>
          <w:sz w:val="24"/>
          <w:szCs w:val="24"/>
        </w:rPr>
        <w:t>HJ</w:t>
      </w:r>
      <w:r>
        <w:rPr>
          <w:rFonts w:hint="eastAsia"/>
          <w:sz w:val="24"/>
          <w:szCs w:val="24"/>
        </w:rPr>
        <w:t>1012</w:t>
      </w:r>
      <w:r>
        <w:rPr>
          <w:sz w:val="24"/>
          <w:szCs w:val="24"/>
        </w:rPr>
        <w:t>-</w:t>
      </w:r>
      <w:r>
        <w:rPr>
          <w:rFonts w:hint="eastAsia"/>
          <w:sz w:val="24"/>
          <w:szCs w:val="24"/>
        </w:rPr>
        <w:t>2018</w:t>
      </w:r>
      <w:r>
        <w:rPr>
          <w:rFonts w:hAnsi="宋体"/>
          <w:sz w:val="24"/>
          <w:szCs w:val="24"/>
        </w:rPr>
        <w:t>）</w:t>
      </w:r>
      <w:r>
        <w:rPr>
          <w:rFonts w:hint="eastAsia" w:hAnsi="宋体"/>
          <w:sz w:val="24"/>
          <w:szCs w:val="24"/>
        </w:rPr>
        <w:t>、</w:t>
      </w:r>
      <w:r>
        <w:rPr>
          <w:rFonts w:hint="eastAsia"/>
          <w:sz w:val="24"/>
          <w:szCs w:val="24"/>
        </w:rPr>
        <w:t>《固定污染源废气总烃甲烷和非甲烷总烃的测定便携式气相色谱-氢火焰离子化检测器法》（HJ 1332-2023）、《固定污染源废气总烃甲烷和非甲烷总烃的测定便携式催化氧化-氢火焰离子化检测器法》（HJ 1331-2023）、《湿度测量方法》（</w:t>
      </w:r>
      <w:r>
        <w:rPr>
          <w:sz w:val="24"/>
          <w:szCs w:val="24"/>
        </w:rPr>
        <w:t>GB</w:t>
      </w:r>
      <w:r>
        <w:rPr>
          <w:rFonts w:hint="eastAsia"/>
          <w:sz w:val="24"/>
          <w:szCs w:val="24"/>
        </w:rPr>
        <w:t>/</w:t>
      </w:r>
      <w:r>
        <w:rPr>
          <w:sz w:val="24"/>
          <w:szCs w:val="24"/>
        </w:rPr>
        <w:t>T11605</w:t>
      </w:r>
      <w:r>
        <w:rPr>
          <w:rFonts w:hint="eastAsia"/>
          <w:sz w:val="24"/>
          <w:szCs w:val="24"/>
        </w:rPr>
        <w:t xml:space="preserve"> ）、《数值修约规则与极限数值的表示和判定》（</w:t>
      </w:r>
      <w:r>
        <w:rPr>
          <w:sz w:val="24"/>
          <w:szCs w:val="24"/>
        </w:rPr>
        <w:t>GB/T 8170）</w:t>
      </w:r>
      <w:r>
        <w:rPr>
          <w:rFonts w:hint="eastAsia"/>
          <w:sz w:val="24"/>
          <w:szCs w:val="24"/>
        </w:rPr>
        <w:t xml:space="preserve">等分析方法标准，做到有效衔接，有效补充。 </w:t>
      </w:r>
    </w:p>
    <w:p w14:paraId="19EAB601">
      <w:pPr>
        <w:autoSpaceDE w:val="0"/>
        <w:autoSpaceDN w:val="0"/>
        <w:adjustRightInd w:val="0"/>
        <w:spacing w:line="360" w:lineRule="auto"/>
        <w:rPr>
          <w:kern w:val="0"/>
          <w:sz w:val="24"/>
          <w:szCs w:val="24"/>
        </w:rPr>
      </w:pPr>
      <w:r>
        <w:rPr>
          <w:kern w:val="0"/>
          <w:sz w:val="24"/>
          <w:szCs w:val="24"/>
        </w:rPr>
        <w:t>（2）可行</w:t>
      </w:r>
      <w:r>
        <w:rPr>
          <w:rFonts w:hint="eastAsia"/>
          <w:kern w:val="0"/>
          <w:sz w:val="24"/>
          <w:szCs w:val="24"/>
        </w:rPr>
        <w:t>与可操作</w:t>
      </w:r>
      <w:r>
        <w:rPr>
          <w:kern w:val="0"/>
          <w:sz w:val="24"/>
          <w:szCs w:val="24"/>
        </w:rPr>
        <w:t>原则</w:t>
      </w:r>
    </w:p>
    <w:p w14:paraId="7011477D">
      <w:pPr>
        <w:autoSpaceDE w:val="0"/>
        <w:autoSpaceDN w:val="0"/>
        <w:adjustRightInd w:val="0"/>
        <w:spacing w:line="360" w:lineRule="auto"/>
        <w:ind w:firstLine="480" w:firstLineChars="200"/>
        <w:rPr>
          <w:kern w:val="0"/>
          <w:sz w:val="24"/>
          <w:szCs w:val="24"/>
        </w:rPr>
      </w:pPr>
      <w:r>
        <w:rPr>
          <w:rFonts w:hint="eastAsia"/>
          <w:kern w:val="0"/>
          <w:sz w:val="24"/>
          <w:szCs w:val="24"/>
          <w:lang w:eastAsia="zh-CN"/>
        </w:rPr>
        <w:t>本指南</w:t>
      </w:r>
      <w:r>
        <w:rPr>
          <w:kern w:val="0"/>
          <w:sz w:val="24"/>
          <w:szCs w:val="24"/>
        </w:rPr>
        <w:t>制定过程中充分调研了国内外固定污染源废气中非甲烷总烃现场监测方法和技术规范，</w:t>
      </w:r>
      <w:r>
        <w:rPr>
          <w:rFonts w:hAnsi="宋体"/>
          <w:sz w:val="24"/>
          <w:szCs w:val="24"/>
        </w:rPr>
        <w:t>以</w:t>
      </w:r>
      <w:r>
        <w:rPr>
          <w:rFonts w:hint="eastAsia" w:hAnsi="宋体"/>
          <w:sz w:val="24"/>
          <w:szCs w:val="24"/>
        </w:rPr>
        <w:t>确保技术</w:t>
      </w:r>
      <w:r>
        <w:rPr>
          <w:rFonts w:hint="eastAsia" w:hAnsi="宋体"/>
          <w:sz w:val="24"/>
          <w:szCs w:val="24"/>
          <w:lang w:val="en-US" w:eastAsia="zh-CN"/>
        </w:rPr>
        <w:t>规范</w:t>
      </w:r>
      <w:r>
        <w:rPr>
          <w:rFonts w:hint="eastAsia" w:hAnsi="宋体"/>
          <w:sz w:val="24"/>
          <w:szCs w:val="24"/>
        </w:rPr>
        <w:t>的可操作性，</w:t>
      </w:r>
      <w:r>
        <w:rPr>
          <w:rFonts w:hAnsi="宋体"/>
          <w:sz w:val="24"/>
          <w:szCs w:val="24"/>
        </w:rPr>
        <w:t>提高样品采集</w:t>
      </w:r>
      <w:r>
        <w:rPr>
          <w:rFonts w:hint="eastAsia" w:hAnsi="宋体"/>
          <w:sz w:val="24"/>
          <w:szCs w:val="24"/>
        </w:rPr>
        <w:t>的准确性与</w:t>
      </w:r>
      <w:r>
        <w:rPr>
          <w:rFonts w:hAnsi="宋体"/>
          <w:sz w:val="24"/>
          <w:szCs w:val="24"/>
        </w:rPr>
        <w:t>代表性，</w:t>
      </w:r>
      <w:r>
        <w:rPr>
          <w:rFonts w:hint="eastAsia" w:hAnsi="宋体"/>
          <w:sz w:val="24"/>
          <w:szCs w:val="24"/>
        </w:rPr>
        <w:t>提高比对监测的有效性，力求满足</w:t>
      </w:r>
      <w:r>
        <w:rPr>
          <w:rFonts w:hAnsi="宋体"/>
          <w:sz w:val="24"/>
          <w:szCs w:val="24"/>
        </w:rPr>
        <w:t>日常监督</w:t>
      </w:r>
      <w:r>
        <w:rPr>
          <w:rFonts w:hint="eastAsia" w:hAnsi="宋体"/>
          <w:sz w:val="24"/>
          <w:szCs w:val="24"/>
        </w:rPr>
        <w:t>管理</w:t>
      </w:r>
      <w:r>
        <w:rPr>
          <w:rFonts w:hAnsi="宋体"/>
          <w:sz w:val="24"/>
          <w:szCs w:val="24"/>
        </w:rPr>
        <w:t>的要求，</w:t>
      </w:r>
      <w:r>
        <w:rPr>
          <w:kern w:val="0"/>
          <w:sz w:val="24"/>
          <w:szCs w:val="24"/>
        </w:rPr>
        <w:t>力求使</w:t>
      </w:r>
      <w:r>
        <w:rPr>
          <w:rFonts w:hint="eastAsia"/>
          <w:kern w:val="0"/>
          <w:sz w:val="24"/>
          <w:szCs w:val="24"/>
        </w:rPr>
        <w:t>挥发性有机物的监测</w:t>
      </w:r>
      <w:r>
        <w:rPr>
          <w:kern w:val="0"/>
          <w:sz w:val="24"/>
          <w:szCs w:val="24"/>
        </w:rPr>
        <w:t>做到技术上可行、经济上合理</w:t>
      </w:r>
      <w:r>
        <w:rPr>
          <w:rFonts w:hint="eastAsia"/>
          <w:kern w:val="0"/>
          <w:sz w:val="24"/>
          <w:szCs w:val="24"/>
        </w:rPr>
        <w:t>，</w:t>
      </w:r>
      <w:r>
        <w:rPr>
          <w:kern w:val="0"/>
          <w:sz w:val="24"/>
          <w:szCs w:val="24"/>
        </w:rPr>
        <w:t>具有较强操作性和指导性。</w:t>
      </w:r>
    </w:p>
    <w:p w14:paraId="2E0B329B">
      <w:pPr>
        <w:autoSpaceDE w:val="0"/>
        <w:autoSpaceDN w:val="0"/>
        <w:adjustRightInd w:val="0"/>
        <w:spacing w:line="360" w:lineRule="auto"/>
        <w:rPr>
          <w:kern w:val="0"/>
          <w:sz w:val="24"/>
          <w:szCs w:val="24"/>
        </w:rPr>
      </w:pPr>
      <w:r>
        <w:rPr>
          <w:kern w:val="0"/>
          <w:sz w:val="24"/>
          <w:szCs w:val="24"/>
        </w:rPr>
        <w:t>（3）先进</w:t>
      </w:r>
      <w:r>
        <w:rPr>
          <w:rFonts w:hint="eastAsia"/>
          <w:kern w:val="0"/>
          <w:sz w:val="24"/>
          <w:szCs w:val="24"/>
        </w:rPr>
        <w:t>与前瞻性</w:t>
      </w:r>
      <w:r>
        <w:rPr>
          <w:kern w:val="0"/>
          <w:sz w:val="24"/>
          <w:szCs w:val="24"/>
        </w:rPr>
        <w:t>原则</w:t>
      </w:r>
    </w:p>
    <w:p w14:paraId="1000F15D">
      <w:pPr>
        <w:autoSpaceDE w:val="0"/>
        <w:autoSpaceDN w:val="0"/>
        <w:adjustRightInd w:val="0"/>
        <w:spacing w:line="360" w:lineRule="auto"/>
        <w:ind w:firstLine="480" w:firstLineChars="200"/>
        <w:rPr>
          <w:rFonts w:hint="eastAsia" w:hAnsi="宋体"/>
          <w:sz w:val="24"/>
          <w:szCs w:val="24"/>
        </w:rPr>
      </w:pPr>
      <w:r>
        <w:rPr>
          <w:rFonts w:hint="eastAsia"/>
          <w:kern w:val="0"/>
          <w:sz w:val="24"/>
          <w:szCs w:val="24"/>
          <w:lang w:eastAsia="zh-CN"/>
        </w:rPr>
        <w:t>本指南</w:t>
      </w:r>
      <w:r>
        <w:rPr>
          <w:kern w:val="0"/>
          <w:sz w:val="24"/>
          <w:szCs w:val="24"/>
        </w:rPr>
        <w:t>制定过程中充分调研了</w:t>
      </w:r>
      <w:r>
        <w:rPr>
          <w:rFonts w:hint="eastAsia"/>
          <w:kern w:val="0"/>
          <w:sz w:val="24"/>
          <w:szCs w:val="24"/>
        </w:rPr>
        <w:t>近几年</w:t>
      </w:r>
      <w:r>
        <w:rPr>
          <w:kern w:val="0"/>
          <w:sz w:val="24"/>
          <w:szCs w:val="24"/>
        </w:rPr>
        <w:t>国内外</w:t>
      </w:r>
      <w:r>
        <w:rPr>
          <w:rFonts w:hint="eastAsia"/>
          <w:kern w:val="0"/>
          <w:sz w:val="24"/>
          <w:szCs w:val="24"/>
        </w:rPr>
        <w:t>固定污染源</w:t>
      </w:r>
      <w:r>
        <w:rPr>
          <w:kern w:val="0"/>
          <w:sz w:val="24"/>
          <w:szCs w:val="24"/>
        </w:rPr>
        <w:t>VOCs监测</w:t>
      </w:r>
      <w:r>
        <w:rPr>
          <w:rFonts w:hint="eastAsia"/>
          <w:kern w:val="0"/>
          <w:sz w:val="24"/>
          <w:szCs w:val="24"/>
        </w:rPr>
        <w:t>新方法，新技术及相应的</w:t>
      </w:r>
      <w:r>
        <w:rPr>
          <w:kern w:val="0"/>
          <w:sz w:val="24"/>
          <w:szCs w:val="24"/>
        </w:rPr>
        <w:t>监测设备，</w:t>
      </w:r>
      <w:r>
        <w:rPr>
          <w:rFonts w:hint="eastAsia"/>
          <w:kern w:val="0"/>
          <w:sz w:val="24"/>
          <w:szCs w:val="24"/>
        </w:rPr>
        <w:t>并</w:t>
      </w:r>
      <w:r>
        <w:rPr>
          <w:rFonts w:hAnsi="宋体"/>
          <w:sz w:val="24"/>
          <w:szCs w:val="24"/>
        </w:rPr>
        <w:t>充分考虑我</w:t>
      </w:r>
      <w:r>
        <w:rPr>
          <w:rFonts w:hint="eastAsia" w:hAnsi="宋体"/>
          <w:sz w:val="24"/>
          <w:szCs w:val="24"/>
        </w:rPr>
        <w:t>省</w:t>
      </w:r>
      <w:r>
        <w:rPr>
          <w:rFonts w:hAnsi="宋体"/>
          <w:sz w:val="24"/>
          <w:szCs w:val="24"/>
        </w:rPr>
        <w:t>经济发展水平和客观实际需要，</w:t>
      </w:r>
      <w:r>
        <w:rPr>
          <w:rFonts w:hint="eastAsia" w:hAnsi="宋体"/>
          <w:sz w:val="24"/>
          <w:szCs w:val="24"/>
        </w:rPr>
        <w:t>力求具有前瞻性。</w:t>
      </w:r>
    </w:p>
    <w:p w14:paraId="51EC42A5">
      <w:pPr>
        <w:numPr>
          <w:ilvl w:val="0"/>
          <w:numId w:val="1"/>
        </w:numPr>
        <w:autoSpaceDE w:val="0"/>
        <w:autoSpaceDN w:val="0"/>
        <w:adjustRightInd w:val="0"/>
        <w:spacing w:line="360" w:lineRule="auto"/>
        <w:rPr>
          <w:rFonts w:hint="eastAsia" w:hAnsi="宋体"/>
          <w:sz w:val="24"/>
          <w:szCs w:val="24"/>
        </w:rPr>
      </w:pPr>
      <w:r>
        <w:rPr>
          <w:rFonts w:hint="eastAsia" w:hAnsi="宋体"/>
          <w:sz w:val="24"/>
          <w:szCs w:val="24"/>
        </w:rPr>
        <w:t>规范性</w:t>
      </w:r>
    </w:p>
    <w:p w14:paraId="4523158A">
      <w:pPr>
        <w:autoSpaceDE w:val="0"/>
        <w:autoSpaceDN w:val="0"/>
        <w:adjustRightInd w:val="0"/>
        <w:spacing w:line="360" w:lineRule="auto"/>
        <w:ind w:firstLine="480" w:firstLineChars="200"/>
        <w:rPr>
          <w:sz w:val="24"/>
          <w:szCs w:val="24"/>
        </w:rPr>
      </w:pPr>
      <w:r>
        <w:rPr>
          <w:rFonts w:hAnsi="宋体"/>
          <w:sz w:val="24"/>
          <w:szCs w:val="24"/>
        </w:rPr>
        <w:t>按照</w:t>
      </w:r>
      <w:r>
        <w:rPr>
          <w:sz w:val="24"/>
          <w:szCs w:val="24"/>
        </w:rPr>
        <w:t>GB/T 1.1</w:t>
      </w:r>
      <w:r>
        <w:rPr>
          <w:rFonts w:hAnsi="宋体"/>
          <w:sz w:val="24"/>
          <w:szCs w:val="24"/>
        </w:rPr>
        <w:t>中格式的原则</w:t>
      </w:r>
      <w:r>
        <w:rPr>
          <w:rFonts w:hint="eastAsia" w:hAnsi="宋体"/>
          <w:sz w:val="24"/>
          <w:szCs w:val="24"/>
        </w:rPr>
        <w:t>及</w:t>
      </w:r>
      <w:r>
        <w:rPr>
          <w:rFonts w:hAnsi="宋体"/>
          <w:sz w:val="24"/>
          <w:szCs w:val="24"/>
        </w:rPr>
        <w:t>要求进行编写。</w:t>
      </w:r>
    </w:p>
    <w:p w14:paraId="4C273102">
      <w:pPr>
        <w:pStyle w:val="4"/>
        <w:rPr>
          <w:rFonts w:eastAsia="黑体"/>
          <w:sz w:val="24"/>
          <w:szCs w:val="24"/>
        </w:rPr>
      </w:pPr>
      <w:bookmarkStart w:id="26" w:name="_Toc3892"/>
      <w:r>
        <w:rPr>
          <w:rFonts w:eastAsia="黑体"/>
          <w:sz w:val="24"/>
          <w:szCs w:val="24"/>
        </w:rPr>
        <w:t xml:space="preserve">3.2 </w:t>
      </w:r>
      <w:r>
        <w:rPr>
          <w:rFonts w:hAnsi="黑体" w:eastAsia="黑体"/>
          <w:sz w:val="24"/>
          <w:szCs w:val="24"/>
        </w:rPr>
        <w:t>国内外标准调研</w:t>
      </w:r>
      <w:bookmarkEnd w:id="26"/>
    </w:p>
    <w:p w14:paraId="211BE6F1">
      <w:pPr>
        <w:pStyle w:val="19"/>
        <w:ind w:left="0" w:leftChars="0" w:firstLine="420" w:firstLineChars="175"/>
      </w:pPr>
      <w:bookmarkStart w:id="27" w:name="_Toc387333555"/>
      <w:r>
        <w:rPr>
          <w:rFonts w:hint="eastAsia"/>
        </w:rPr>
        <w:t>3.2.1 国内外监测方法与原理</w:t>
      </w:r>
    </w:p>
    <w:p w14:paraId="79DEC6BE">
      <w:pPr>
        <w:autoSpaceDE w:val="0"/>
        <w:autoSpaceDN w:val="0"/>
        <w:adjustRightInd w:val="0"/>
        <w:spacing w:line="360" w:lineRule="auto"/>
        <w:ind w:firstLine="480" w:firstLineChars="200"/>
        <w:rPr>
          <w:kern w:val="0"/>
          <w:sz w:val="24"/>
          <w:szCs w:val="24"/>
        </w:rPr>
      </w:pPr>
      <w:r>
        <w:rPr>
          <w:kern w:val="0"/>
          <w:sz w:val="24"/>
          <w:szCs w:val="24"/>
        </w:rPr>
        <w:t>UAEPA在NSPS（40CFR PART 60）中，推出了相配套的固定</w:t>
      </w:r>
      <w:r>
        <w:rPr>
          <w:rFonts w:hint="eastAsia"/>
          <w:kern w:val="0"/>
          <w:sz w:val="24"/>
          <w:szCs w:val="24"/>
        </w:rPr>
        <w:t>污染</w:t>
      </w:r>
      <w:r>
        <w:rPr>
          <w:kern w:val="0"/>
          <w:sz w:val="24"/>
          <w:szCs w:val="24"/>
        </w:rPr>
        <w:t>源废气中VOCs监测方法标准，即EPA Method18、25、25A</w:t>
      </w:r>
      <w:r>
        <w:rPr>
          <w:rFonts w:hint="eastAsia"/>
          <w:kern w:val="0"/>
          <w:sz w:val="24"/>
          <w:szCs w:val="24"/>
        </w:rPr>
        <w:t>，</w:t>
      </w:r>
      <w:r>
        <w:rPr>
          <w:kern w:val="0"/>
          <w:sz w:val="24"/>
          <w:szCs w:val="24"/>
        </w:rPr>
        <w:t>分析结果均用有机碳（TOC）以体积分数ppmvC表示，国外关于固定源废气中VOCs或NMHC的监测方法与原理见表</w:t>
      </w:r>
      <w:r>
        <w:rPr>
          <w:rFonts w:hint="eastAsia"/>
          <w:kern w:val="0"/>
          <w:sz w:val="24"/>
          <w:szCs w:val="24"/>
        </w:rPr>
        <w:t>1</w:t>
      </w:r>
      <w:r>
        <w:rPr>
          <w:kern w:val="0"/>
          <w:sz w:val="24"/>
          <w:szCs w:val="24"/>
        </w:rPr>
        <w:t>。</w:t>
      </w:r>
    </w:p>
    <w:p w14:paraId="315C2E8A">
      <w:pPr>
        <w:autoSpaceDE w:val="0"/>
        <w:autoSpaceDN w:val="0"/>
        <w:adjustRightInd w:val="0"/>
        <w:spacing w:line="360" w:lineRule="auto"/>
        <w:ind w:firstLine="480" w:firstLineChars="200"/>
        <w:rPr>
          <w:bCs/>
          <w:kern w:val="0"/>
          <w:sz w:val="24"/>
          <w:szCs w:val="24"/>
        </w:rPr>
      </w:pPr>
      <w:r>
        <w:rPr>
          <w:bCs/>
          <w:kern w:val="0"/>
          <w:sz w:val="24"/>
          <w:szCs w:val="24"/>
        </w:rPr>
        <w:t>国内已有监测</w:t>
      </w:r>
      <w:r>
        <w:rPr>
          <w:rFonts w:hint="eastAsia"/>
          <w:sz w:val="24"/>
          <w:szCs w:val="24"/>
          <w:lang w:val="en-US" w:eastAsia="zh-CN"/>
        </w:rPr>
        <w:t>标准</w:t>
      </w:r>
      <w:r>
        <w:rPr>
          <w:bCs/>
          <w:kern w:val="0"/>
          <w:sz w:val="24"/>
          <w:szCs w:val="24"/>
        </w:rPr>
        <w:t>中，《环境空气和废气</w:t>
      </w:r>
      <w:r>
        <w:rPr>
          <w:rFonts w:hint="eastAsia"/>
          <w:bCs/>
          <w:kern w:val="0"/>
          <w:sz w:val="24"/>
          <w:szCs w:val="24"/>
        </w:rPr>
        <w:t xml:space="preserve"> </w:t>
      </w:r>
      <w:r>
        <w:rPr>
          <w:bCs/>
          <w:kern w:val="0"/>
          <w:sz w:val="24"/>
          <w:szCs w:val="24"/>
        </w:rPr>
        <w:t>总烃、甲烷和非甲烷总烃便携式监测仪技术要求及检测方法》（HJ1012）、</w:t>
      </w:r>
      <w:r>
        <w:rPr>
          <w:rFonts w:hint="eastAsia"/>
          <w:sz w:val="24"/>
          <w:szCs w:val="24"/>
        </w:rPr>
        <w:t>《固定污染源废气总烃甲烷和非甲烷总烃的测定便携式气相色谱-氢火焰离子化检测器法》（HJ 1332-2023）、《固定污染源废气总烃甲烷和非甲烷总烃的测定便携式催化氧化-氢火焰离子化检测器法》（HJ 1331-2023）</w:t>
      </w:r>
      <w:r>
        <w:rPr>
          <w:bCs/>
          <w:kern w:val="0"/>
          <w:sz w:val="24"/>
          <w:szCs w:val="24"/>
        </w:rPr>
        <w:t>与</w:t>
      </w:r>
      <w:r>
        <w:rPr>
          <w:rFonts w:hint="eastAsia"/>
          <w:bCs/>
          <w:kern w:val="0"/>
          <w:sz w:val="24"/>
          <w:szCs w:val="24"/>
          <w:lang w:eastAsia="zh-CN"/>
        </w:rPr>
        <w:t>本指南</w:t>
      </w:r>
      <w:r>
        <w:rPr>
          <w:bCs/>
          <w:kern w:val="0"/>
          <w:sz w:val="24"/>
          <w:szCs w:val="24"/>
        </w:rPr>
        <w:t>的制订密切相关，因此将上述</w:t>
      </w:r>
      <w:r>
        <w:rPr>
          <w:rFonts w:hint="eastAsia"/>
          <w:bCs/>
          <w:kern w:val="0"/>
          <w:sz w:val="24"/>
          <w:szCs w:val="24"/>
        </w:rPr>
        <w:t>3</w:t>
      </w:r>
      <w:r>
        <w:rPr>
          <w:bCs/>
          <w:kern w:val="0"/>
          <w:sz w:val="24"/>
          <w:szCs w:val="24"/>
        </w:rPr>
        <w:t>个标准作为便携式现场监测技术</w:t>
      </w:r>
      <w:r>
        <w:rPr>
          <w:rFonts w:hint="eastAsia"/>
          <w:bCs/>
          <w:kern w:val="0"/>
          <w:sz w:val="24"/>
          <w:szCs w:val="24"/>
          <w:lang w:val="en-US" w:eastAsia="zh-CN"/>
        </w:rPr>
        <w:t>规范</w:t>
      </w:r>
      <w:r>
        <w:rPr>
          <w:bCs/>
          <w:kern w:val="0"/>
          <w:sz w:val="24"/>
          <w:szCs w:val="24"/>
        </w:rPr>
        <w:t>的参数依据。国内相关分析方法与原理见表</w:t>
      </w:r>
      <w:r>
        <w:rPr>
          <w:rFonts w:hint="eastAsia"/>
          <w:bCs/>
          <w:kern w:val="0"/>
          <w:sz w:val="24"/>
          <w:szCs w:val="24"/>
          <w:lang w:val="en-US" w:eastAsia="zh-CN"/>
        </w:rPr>
        <w:t>2</w:t>
      </w:r>
      <w:r>
        <w:rPr>
          <w:bCs/>
          <w:kern w:val="0"/>
          <w:sz w:val="24"/>
          <w:szCs w:val="24"/>
        </w:rPr>
        <w:t>。</w:t>
      </w:r>
    </w:p>
    <w:p w14:paraId="53DD8BA2">
      <w:pPr>
        <w:rPr>
          <w:kern w:val="0"/>
          <w:sz w:val="24"/>
          <w:szCs w:val="24"/>
        </w:rPr>
        <w:sectPr>
          <w:footerReference r:id="rId5" w:type="default"/>
          <w:pgSz w:w="11906" w:h="16838"/>
          <w:pgMar w:top="1440" w:right="1800" w:bottom="1440" w:left="1800" w:header="851" w:footer="992" w:gutter="0"/>
          <w:pgNumType w:fmt="decimal" w:start="1"/>
          <w:cols w:space="720" w:num="1"/>
          <w:docGrid w:type="lines" w:linePitch="312" w:charSpace="0"/>
        </w:sectPr>
      </w:pPr>
    </w:p>
    <w:p w14:paraId="0EDBD118">
      <w:pPr>
        <w:rPr>
          <w:kern w:val="0"/>
          <w:sz w:val="24"/>
          <w:szCs w:val="24"/>
        </w:rPr>
      </w:pPr>
    </w:p>
    <w:p w14:paraId="105904B0">
      <w:pPr>
        <w:numPr>
          <w:ilvl w:val="0"/>
          <w:numId w:val="0"/>
        </w:numPr>
        <w:spacing w:before="120" w:after="120"/>
        <w:ind w:left="676" w:leftChars="0"/>
        <w:jc w:val="center"/>
        <w:rPr>
          <w:rFonts w:eastAsia="黑体"/>
          <w:szCs w:val="20"/>
        </w:rPr>
      </w:pPr>
      <w:r>
        <w:rPr>
          <w:rFonts w:hint="eastAsia" w:eastAsia="黑体"/>
          <w:szCs w:val="20"/>
          <w:lang w:val="en-US" w:eastAsia="zh-CN"/>
        </w:rPr>
        <w:t>表2</w:t>
      </w:r>
      <w:r>
        <w:rPr>
          <w:rFonts w:hint="eastAsia" w:eastAsia="黑体"/>
          <w:szCs w:val="20"/>
        </w:rPr>
        <w:t xml:space="preserve">  </w:t>
      </w:r>
      <w:r>
        <w:rPr>
          <w:rFonts w:eastAsia="黑体"/>
          <w:szCs w:val="20"/>
        </w:rPr>
        <w:t>相关的国内外监测方法与原理</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42"/>
        <w:gridCol w:w="1799"/>
        <w:gridCol w:w="1578"/>
        <w:gridCol w:w="2197"/>
        <w:gridCol w:w="2209"/>
        <w:gridCol w:w="1917"/>
        <w:gridCol w:w="1476"/>
        <w:gridCol w:w="2356"/>
      </w:tblGrid>
      <w:tr w14:paraId="6508CF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94" w:type="dxa"/>
            <w:vAlign w:val="center"/>
          </w:tcPr>
          <w:p w14:paraId="50566DDA">
            <w:pPr>
              <w:rPr>
                <w:kern w:val="0"/>
                <w:sz w:val="18"/>
                <w:szCs w:val="18"/>
              </w:rPr>
            </w:pPr>
            <w:r>
              <w:rPr>
                <w:sz w:val="18"/>
                <w:szCs w:val="18"/>
              </w:rPr>
              <w:br w:type="page"/>
            </w:r>
            <w:r>
              <w:rPr>
                <w:kern w:val="0"/>
                <w:sz w:val="18"/>
                <w:szCs w:val="18"/>
              </w:rPr>
              <w:t>标准名称</w:t>
            </w:r>
          </w:p>
        </w:tc>
        <w:tc>
          <w:tcPr>
            <w:tcW w:w="1966" w:type="dxa"/>
            <w:vAlign w:val="center"/>
          </w:tcPr>
          <w:p w14:paraId="71B5093F">
            <w:pPr>
              <w:rPr>
                <w:kern w:val="0"/>
                <w:sz w:val="18"/>
                <w:szCs w:val="18"/>
              </w:rPr>
            </w:pPr>
            <w:r>
              <w:rPr>
                <w:kern w:val="0"/>
                <w:sz w:val="18"/>
                <w:szCs w:val="18"/>
              </w:rPr>
              <w:t>固定污染源废气总烃、甲烷和非甲烷总烃的测定气相色谱法</w:t>
            </w:r>
          </w:p>
        </w:tc>
        <w:tc>
          <w:tcPr>
            <w:tcW w:w="1701" w:type="dxa"/>
            <w:vAlign w:val="center"/>
          </w:tcPr>
          <w:p w14:paraId="7157D0A1">
            <w:pPr>
              <w:rPr>
                <w:kern w:val="0"/>
                <w:sz w:val="18"/>
                <w:szCs w:val="18"/>
                <w:vertAlign w:val="superscript"/>
              </w:rPr>
            </w:pPr>
            <w:r>
              <w:rPr>
                <w:kern w:val="0"/>
                <w:sz w:val="18"/>
                <w:szCs w:val="18"/>
              </w:rPr>
              <w:t>固定污染源废气甲烷/总烃/非甲烷总烃的测定便携式氢火焰离子化检测器法</w:t>
            </w:r>
            <w:r>
              <w:rPr>
                <w:kern w:val="0"/>
                <w:sz w:val="18"/>
                <w:szCs w:val="18"/>
                <w:vertAlign w:val="superscript"/>
              </w:rPr>
              <w:t>[18]</w:t>
            </w:r>
          </w:p>
        </w:tc>
        <w:tc>
          <w:tcPr>
            <w:tcW w:w="2449" w:type="dxa"/>
            <w:vAlign w:val="center"/>
          </w:tcPr>
          <w:p w14:paraId="38F979B1">
            <w:pPr>
              <w:rPr>
                <w:sz w:val="18"/>
                <w:szCs w:val="18"/>
              </w:rPr>
            </w:pPr>
            <w:r>
              <w:rPr>
                <w:sz w:val="18"/>
                <w:szCs w:val="18"/>
              </w:rPr>
              <w:t>固定污染源废气总烃、甲烷和非甲烷总烃的测定便携式催化氧化-氢火焰离子化检测器法</w:t>
            </w:r>
          </w:p>
        </w:tc>
        <w:tc>
          <w:tcPr>
            <w:tcW w:w="2512" w:type="dxa"/>
            <w:vAlign w:val="center"/>
          </w:tcPr>
          <w:p w14:paraId="29780A3A">
            <w:pPr>
              <w:rPr>
                <w:sz w:val="18"/>
                <w:szCs w:val="18"/>
              </w:rPr>
            </w:pPr>
            <w:r>
              <w:rPr>
                <w:sz w:val="18"/>
                <w:szCs w:val="18"/>
              </w:rPr>
              <w:t>以碳计总气态非甲烷有机物的测定</w:t>
            </w:r>
          </w:p>
        </w:tc>
        <w:tc>
          <w:tcPr>
            <w:tcW w:w="2126" w:type="dxa"/>
            <w:vAlign w:val="center"/>
          </w:tcPr>
          <w:p w14:paraId="235C3F32">
            <w:pPr>
              <w:rPr>
                <w:sz w:val="18"/>
                <w:szCs w:val="18"/>
              </w:rPr>
            </w:pPr>
            <w:r>
              <w:rPr>
                <w:sz w:val="18"/>
                <w:szCs w:val="18"/>
              </w:rPr>
              <w:t>总气态有机物（TOC）浓度的测定火焰离子化分析法</w:t>
            </w:r>
          </w:p>
        </w:tc>
        <w:tc>
          <w:tcPr>
            <w:tcW w:w="1560" w:type="dxa"/>
            <w:vAlign w:val="center"/>
          </w:tcPr>
          <w:p w14:paraId="07FB0A81">
            <w:pPr>
              <w:rPr>
                <w:sz w:val="18"/>
                <w:szCs w:val="18"/>
              </w:rPr>
            </w:pPr>
            <w:r>
              <w:rPr>
                <w:sz w:val="18"/>
                <w:szCs w:val="18"/>
              </w:rPr>
              <w:t>固定源排放采用气相色谱法测定甲烷浓度的手动办法</w:t>
            </w:r>
          </w:p>
        </w:tc>
        <w:tc>
          <w:tcPr>
            <w:tcW w:w="2606" w:type="dxa"/>
            <w:vAlign w:val="center"/>
          </w:tcPr>
          <w:p w14:paraId="1DA06E30">
            <w:pPr>
              <w:rPr>
                <w:sz w:val="18"/>
                <w:szCs w:val="18"/>
              </w:rPr>
            </w:pPr>
            <w:bookmarkStart w:id="28" w:name="_Toc68531086"/>
            <w:bookmarkStart w:id="29" w:name="_Toc83915504"/>
            <w:bookmarkStart w:id="30" w:name="_Toc71179852"/>
            <w:bookmarkStart w:id="31" w:name="_Toc31859"/>
            <w:bookmarkStart w:id="32" w:name="_Toc88404324"/>
            <w:r>
              <w:rPr>
                <w:sz w:val="18"/>
                <w:szCs w:val="18"/>
              </w:rPr>
              <w:t>固定源排放总气态有机碳质量浓度的测定连续火焰离子化检测器法</w:t>
            </w:r>
            <w:bookmarkEnd w:id="28"/>
            <w:bookmarkEnd w:id="29"/>
            <w:bookmarkEnd w:id="30"/>
            <w:bookmarkEnd w:id="31"/>
            <w:bookmarkEnd w:id="32"/>
          </w:p>
        </w:tc>
      </w:tr>
      <w:tr w14:paraId="2B24A3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tblHeader/>
          <w:jc w:val="center"/>
        </w:trPr>
        <w:tc>
          <w:tcPr>
            <w:tcW w:w="694" w:type="dxa"/>
            <w:vAlign w:val="center"/>
          </w:tcPr>
          <w:p w14:paraId="3E923869">
            <w:pPr>
              <w:spacing w:line="276" w:lineRule="auto"/>
              <w:jc w:val="center"/>
              <w:rPr>
                <w:kern w:val="0"/>
                <w:sz w:val="18"/>
                <w:szCs w:val="18"/>
              </w:rPr>
            </w:pPr>
            <w:r>
              <w:rPr>
                <w:kern w:val="0"/>
                <w:sz w:val="18"/>
                <w:szCs w:val="18"/>
              </w:rPr>
              <w:t>标准编号</w:t>
            </w:r>
          </w:p>
        </w:tc>
        <w:tc>
          <w:tcPr>
            <w:tcW w:w="1966" w:type="dxa"/>
            <w:vAlign w:val="center"/>
          </w:tcPr>
          <w:p w14:paraId="750E3523">
            <w:pPr>
              <w:autoSpaceDE w:val="0"/>
              <w:autoSpaceDN w:val="0"/>
              <w:adjustRightInd w:val="0"/>
              <w:spacing w:line="276" w:lineRule="auto"/>
              <w:jc w:val="center"/>
              <w:rPr>
                <w:rFonts w:eastAsiaTheme="minorEastAsia"/>
                <w:kern w:val="0"/>
                <w:sz w:val="18"/>
                <w:szCs w:val="18"/>
              </w:rPr>
            </w:pPr>
            <w:r>
              <w:rPr>
                <w:rFonts w:eastAsiaTheme="minorEastAsia"/>
                <w:kern w:val="0"/>
                <w:sz w:val="18"/>
                <w:szCs w:val="18"/>
              </w:rPr>
              <w:t>HJ 38-2017</w:t>
            </w:r>
          </w:p>
        </w:tc>
        <w:tc>
          <w:tcPr>
            <w:tcW w:w="1701" w:type="dxa"/>
            <w:vAlign w:val="center"/>
          </w:tcPr>
          <w:p w14:paraId="74D21E4C">
            <w:pPr>
              <w:autoSpaceDE w:val="0"/>
              <w:autoSpaceDN w:val="0"/>
              <w:adjustRightInd w:val="0"/>
              <w:spacing w:line="276" w:lineRule="auto"/>
              <w:jc w:val="center"/>
              <w:rPr>
                <w:rFonts w:eastAsiaTheme="minorEastAsia"/>
                <w:kern w:val="0"/>
                <w:sz w:val="18"/>
                <w:szCs w:val="18"/>
              </w:rPr>
            </w:pPr>
            <w:r>
              <w:rPr>
                <w:rFonts w:eastAsiaTheme="minorEastAsia"/>
                <w:kern w:val="0"/>
                <w:sz w:val="18"/>
                <w:szCs w:val="18"/>
              </w:rPr>
              <w:t>DB 11/T 1367-2016（北京）</w:t>
            </w:r>
          </w:p>
        </w:tc>
        <w:tc>
          <w:tcPr>
            <w:tcW w:w="2449" w:type="dxa"/>
            <w:vAlign w:val="center"/>
          </w:tcPr>
          <w:p w14:paraId="72AA7252">
            <w:pPr>
              <w:autoSpaceDE w:val="0"/>
              <w:autoSpaceDN w:val="0"/>
              <w:adjustRightInd w:val="0"/>
              <w:spacing w:line="276" w:lineRule="auto"/>
              <w:jc w:val="center"/>
              <w:rPr>
                <w:rFonts w:eastAsiaTheme="minorEastAsia"/>
                <w:kern w:val="0"/>
                <w:sz w:val="18"/>
                <w:szCs w:val="18"/>
              </w:rPr>
            </w:pPr>
            <w:r>
              <w:rPr>
                <w:rFonts w:eastAsiaTheme="minorEastAsia"/>
                <w:kern w:val="0"/>
                <w:sz w:val="18"/>
                <w:szCs w:val="18"/>
              </w:rPr>
              <w:t>DB 37/T 3922-2020</w:t>
            </w:r>
          </w:p>
          <w:p w14:paraId="1FCAF739">
            <w:pPr>
              <w:autoSpaceDE w:val="0"/>
              <w:autoSpaceDN w:val="0"/>
              <w:adjustRightInd w:val="0"/>
              <w:spacing w:line="276" w:lineRule="auto"/>
              <w:jc w:val="center"/>
              <w:rPr>
                <w:rFonts w:eastAsiaTheme="minorEastAsia"/>
                <w:kern w:val="0"/>
                <w:sz w:val="18"/>
                <w:szCs w:val="18"/>
              </w:rPr>
            </w:pPr>
            <w:r>
              <w:rPr>
                <w:rFonts w:eastAsiaTheme="minorEastAsia"/>
                <w:kern w:val="0"/>
                <w:sz w:val="18"/>
                <w:szCs w:val="18"/>
              </w:rPr>
              <w:t>（山东）</w:t>
            </w:r>
          </w:p>
        </w:tc>
        <w:tc>
          <w:tcPr>
            <w:tcW w:w="2512" w:type="dxa"/>
            <w:vAlign w:val="center"/>
          </w:tcPr>
          <w:p w14:paraId="4DB3D2E3">
            <w:pPr>
              <w:autoSpaceDE w:val="0"/>
              <w:autoSpaceDN w:val="0"/>
              <w:adjustRightInd w:val="0"/>
              <w:spacing w:line="276" w:lineRule="auto"/>
              <w:jc w:val="center"/>
              <w:rPr>
                <w:rFonts w:eastAsiaTheme="minorEastAsia"/>
                <w:kern w:val="0"/>
                <w:sz w:val="18"/>
                <w:szCs w:val="18"/>
              </w:rPr>
            </w:pPr>
            <w:r>
              <w:rPr>
                <w:rFonts w:eastAsiaTheme="minorEastAsia"/>
                <w:sz w:val="18"/>
                <w:szCs w:val="18"/>
              </w:rPr>
              <w:t>EPA Method 25</w:t>
            </w:r>
          </w:p>
        </w:tc>
        <w:tc>
          <w:tcPr>
            <w:tcW w:w="2126" w:type="dxa"/>
            <w:vAlign w:val="center"/>
          </w:tcPr>
          <w:p w14:paraId="20D99CDC">
            <w:pPr>
              <w:autoSpaceDE w:val="0"/>
              <w:autoSpaceDN w:val="0"/>
              <w:adjustRightInd w:val="0"/>
              <w:spacing w:line="276" w:lineRule="auto"/>
              <w:jc w:val="center"/>
              <w:rPr>
                <w:rFonts w:eastAsiaTheme="minorEastAsia"/>
                <w:kern w:val="0"/>
                <w:sz w:val="18"/>
                <w:szCs w:val="18"/>
              </w:rPr>
            </w:pPr>
            <w:r>
              <w:rPr>
                <w:rFonts w:eastAsiaTheme="minorEastAsia"/>
                <w:sz w:val="18"/>
                <w:szCs w:val="18"/>
              </w:rPr>
              <w:t>EPA Method 25A</w:t>
            </w:r>
          </w:p>
        </w:tc>
        <w:tc>
          <w:tcPr>
            <w:tcW w:w="1560" w:type="dxa"/>
            <w:vAlign w:val="center"/>
          </w:tcPr>
          <w:p w14:paraId="344185C3">
            <w:pPr>
              <w:spacing w:line="276" w:lineRule="auto"/>
              <w:jc w:val="center"/>
              <w:rPr>
                <w:rFonts w:eastAsiaTheme="minorEastAsia"/>
                <w:kern w:val="0"/>
                <w:sz w:val="18"/>
                <w:szCs w:val="18"/>
              </w:rPr>
            </w:pPr>
            <w:r>
              <w:rPr>
                <w:rFonts w:eastAsiaTheme="minorEastAsia"/>
                <w:sz w:val="18"/>
                <w:szCs w:val="18"/>
              </w:rPr>
              <w:t>ISO 25139-2011</w:t>
            </w:r>
          </w:p>
        </w:tc>
        <w:tc>
          <w:tcPr>
            <w:tcW w:w="2606" w:type="dxa"/>
            <w:vAlign w:val="center"/>
          </w:tcPr>
          <w:p w14:paraId="2F8DAE88">
            <w:pPr>
              <w:spacing w:line="276" w:lineRule="auto"/>
              <w:jc w:val="center"/>
              <w:rPr>
                <w:rFonts w:eastAsiaTheme="minorEastAsia"/>
                <w:sz w:val="18"/>
                <w:szCs w:val="18"/>
              </w:rPr>
            </w:pPr>
            <w:r>
              <w:rPr>
                <w:rFonts w:eastAsiaTheme="minorEastAsia"/>
                <w:sz w:val="18"/>
                <w:szCs w:val="18"/>
              </w:rPr>
              <w:t>BS EN 126919-2013</w:t>
            </w:r>
          </w:p>
        </w:tc>
      </w:tr>
      <w:tr w14:paraId="18CBA9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68" w:hRule="atLeast"/>
          <w:tblHeader/>
          <w:jc w:val="center"/>
        </w:trPr>
        <w:tc>
          <w:tcPr>
            <w:tcW w:w="694" w:type="dxa"/>
            <w:vAlign w:val="center"/>
          </w:tcPr>
          <w:p w14:paraId="58FA6F0C">
            <w:pPr>
              <w:autoSpaceDE w:val="0"/>
              <w:autoSpaceDN w:val="0"/>
              <w:adjustRightInd w:val="0"/>
              <w:spacing w:line="276" w:lineRule="auto"/>
              <w:jc w:val="center"/>
              <w:rPr>
                <w:kern w:val="0"/>
                <w:sz w:val="18"/>
                <w:szCs w:val="18"/>
              </w:rPr>
            </w:pPr>
            <w:r>
              <w:rPr>
                <w:kern w:val="0"/>
                <w:sz w:val="18"/>
                <w:szCs w:val="18"/>
              </w:rPr>
              <w:t>方法原理</w:t>
            </w:r>
          </w:p>
        </w:tc>
        <w:tc>
          <w:tcPr>
            <w:tcW w:w="1966" w:type="dxa"/>
            <w:vAlign w:val="center"/>
          </w:tcPr>
          <w:p w14:paraId="4FBE98FA">
            <w:pPr>
              <w:autoSpaceDE w:val="0"/>
              <w:autoSpaceDN w:val="0"/>
              <w:adjustRightInd w:val="0"/>
              <w:spacing w:line="276" w:lineRule="auto"/>
              <w:jc w:val="center"/>
              <w:rPr>
                <w:kern w:val="0"/>
                <w:sz w:val="18"/>
                <w:szCs w:val="18"/>
              </w:rPr>
            </w:pPr>
            <w:r>
              <w:rPr>
                <w:kern w:val="0"/>
                <w:sz w:val="18"/>
                <w:szCs w:val="18"/>
              </w:rPr>
              <w:t>将气体样品直接注入具氢火焰离子化检测器的气相色谱仪，分别在总烃柱和甲烷柱上测定总烃和甲烷的含量，两者之差即为非甲烷总烃的含量。同时以除烃空气代替样品，测定氧在总烃柱上的响应值，以扣除样品中氧对总烃测定的干扰。</w:t>
            </w:r>
          </w:p>
        </w:tc>
        <w:tc>
          <w:tcPr>
            <w:tcW w:w="1701" w:type="dxa"/>
            <w:vAlign w:val="center"/>
          </w:tcPr>
          <w:p w14:paraId="4B28F9D3">
            <w:pPr>
              <w:pStyle w:val="31"/>
              <w:widowControl w:val="0"/>
              <w:spacing w:before="120" w:after="120" w:line="276" w:lineRule="auto"/>
              <w:rPr>
                <w:rFonts w:ascii="Times New Roman" w:hAnsi="Times New Roman" w:eastAsia="宋体" w:cs="Times New Roman"/>
                <w:sz w:val="18"/>
                <w:szCs w:val="18"/>
                <w:lang w:eastAsia="zh-CN"/>
              </w:rPr>
            </w:pPr>
            <w:r>
              <w:rPr>
                <w:rFonts w:ascii="Times New Roman" w:hAnsi="Times New Roman" w:eastAsia="宋体" w:cs="Times New Roman"/>
                <w:sz w:val="18"/>
                <w:szCs w:val="18"/>
                <w:lang w:eastAsia="zh-CN"/>
              </w:rPr>
              <w:t>用便携式检测仪以氢火焰离子化检测器（以下简称FID）分别测定废气中总烃及甲烷烃的含量，两者之差即为非甲烷总烃的含量。</w:t>
            </w:r>
          </w:p>
          <w:p w14:paraId="0296D3B3">
            <w:pPr>
              <w:autoSpaceDE w:val="0"/>
              <w:autoSpaceDN w:val="0"/>
              <w:adjustRightInd w:val="0"/>
              <w:spacing w:line="276" w:lineRule="auto"/>
              <w:jc w:val="center"/>
              <w:rPr>
                <w:kern w:val="0"/>
                <w:sz w:val="18"/>
                <w:szCs w:val="18"/>
              </w:rPr>
            </w:pPr>
          </w:p>
        </w:tc>
        <w:tc>
          <w:tcPr>
            <w:tcW w:w="2449" w:type="dxa"/>
            <w:vAlign w:val="center"/>
          </w:tcPr>
          <w:p w14:paraId="0F5B9FBC">
            <w:pPr>
              <w:autoSpaceDE w:val="0"/>
              <w:autoSpaceDN w:val="0"/>
              <w:adjustRightInd w:val="0"/>
              <w:spacing w:line="276" w:lineRule="auto"/>
              <w:jc w:val="center"/>
              <w:rPr>
                <w:kern w:val="0"/>
                <w:sz w:val="18"/>
                <w:szCs w:val="18"/>
              </w:rPr>
            </w:pPr>
            <w:r>
              <w:rPr>
                <w:kern w:val="0"/>
                <w:sz w:val="18"/>
                <w:szCs w:val="18"/>
              </w:rPr>
              <w:t>将废气样品导入便携式催化氧化-氢火焰离子化检测器分析仪，分别通过总烃检测单元和甲烷检测单元（甲烷检测单元是通过催化剂将总烃中除甲烷以外的其他有机化合物全部转化为二氧化碳和水的单元）测定总烃和甲烷的含量，两者之差即为非甲烷总烃的含量。</w:t>
            </w:r>
          </w:p>
        </w:tc>
        <w:tc>
          <w:tcPr>
            <w:tcW w:w="2512" w:type="dxa"/>
            <w:vAlign w:val="center"/>
          </w:tcPr>
          <w:p w14:paraId="5D015CA6">
            <w:pPr>
              <w:autoSpaceDE w:val="0"/>
              <w:autoSpaceDN w:val="0"/>
              <w:adjustRightInd w:val="0"/>
              <w:spacing w:line="276" w:lineRule="auto"/>
              <w:jc w:val="center"/>
              <w:rPr>
                <w:kern w:val="0"/>
                <w:sz w:val="18"/>
                <w:szCs w:val="18"/>
              </w:rPr>
            </w:pPr>
            <w:r>
              <w:rPr>
                <w:sz w:val="18"/>
                <w:szCs w:val="18"/>
              </w:rPr>
              <w:t>测定固定污染源中的总气态非甲烷有机物，碳分子筛柱将非甲烷有机物分离后，将其催化氧化为二氧化碳，再还原为甲烷，用FID检测。</w:t>
            </w:r>
          </w:p>
        </w:tc>
        <w:tc>
          <w:tcPr>
            <w:tcW w:w="2126" w:type="dxa"/>
            <w:vAlign w:val="center"/>
          </w:tcPr>
          <w:p w14:paraId="4F6ACE49">
            <w:pPr>
              <w:autoSpaceDE w:val="0"/>
              <w:autoSpaceDN w:val="0"/>
              <w:adjustRightInd w:val="0"/>
              <w:spacing w:line="276" w:lineRule="auto"/>
              <w:jc w:val="center"/>
              <w:rPr>
                <w:kern w:val="0"/>
                <w:sz w:val="18"/>
                <w:szCs w:val="18"/>
              </w:rPr>
            </w:pPr>
            <w:r>
              <w:rPr>
                <w:sz w:val="18"/>
                <w:szCs w:val="18"/>
              </w:rPr>
              <w:t>由加热采样管、管路、玻璃纤维过滤器和FIA分析器构成现场再现分析，直接连续测定总碳氢化合物浓度，主要用于含烷烃、烯烃及芳香烃的气态有机物测定。便携式检测仪</w:t>
            </w:r>
            <w:r>
              <w:rPr>
                <w:sz w:val="18"/>
                <w:szCs w:val="18"/>
                <w:shd w:val="clear" w:color="auto" w:fill="FFFFFF"/>
              </w:rPr>
              <w:t>测得总烃值后，配合高温催化装置测得甲烷值，两者的差值即是非甲烷总烃数值。</w:t>
            </w:r>
          </w:p>
        </w:tc>
        <w:tc>
          <w:tcPr>
            <w:tcW w:w="1560" w:type="dxa"/>
            <w:vAlign w:val="center"/>
          </w:tcPr>
          <w:p w14:paraId="68B64713">
            <w:pPr>
              <w:autoSpaceDE w:val="0"/>
              <w:autoSpaceDN w:val="0"/>
              <w:adjustRightInd w:val="0"/>
              <w:spacing w:line="276" w:lineRule="auto"/>
              <w:jc w:val="center"/>
              <w:rPr>
                <w:kern w:val="0"/>
                <w:sz w:val="18"/>
                <w:szCs w:val="18"/>
              </w:rPr>
            </w:pPr>
            <w:r>
              <w:rPr>
                <w:sz w:val="18"/>
                <w:szCs w:val="18"/>
              </w:rPr>
              <w:t>采样袋或采样罐采样后，直接进样，GC-FID检测固定污染源中的甲烷。再用便携式检测仪</w:t>
            </w:r>
            <w:r>
              <w:rPr>
                <w:sz w:val="18"/>
                <w:szCs w:val="18"/>
                <w:shd w:val="clear" w:color="auto" w:fill="FFFFFF"/>
              </w:rPr>
              <w:t>测得总烃值后，和甲烷的差值即是非甲烷总烃数值。</w:t>
            </w:r>
          </w:p>
        </w:tc>
        <w:tc>
          <w:tcPr>
            <w:tcW w:w="2606" w:type="dxa"/>
            <w:vAlign w:val="center"/>
          </w:tcPr>
          <w:p w14:paraId="25A08775">
            <w:pPr>
              <w:spacing w:after="400" w:line="233" w:lineRule="auto"/>
              <w:rPr>
                <w:sz w:val="18"/>
                <w:szCs w:val="18"/>
              </w:rPr>
            </w:pPr>
            <w:r>
              <w:rPr>
                <w:rFonts w:eastAsiaTheme="minorEastAsia"/>
                <w:sz w:val="18"/>
                <w:szCs w:val="18"/>
                <w:lang w:bidi="en-US"/>
              </w:rPr>
              <w:t>将气样注入氢火焰离子检测器中，通过施加直流电气样中会产生特定的电离电流，该电流可通过合适的设备进行测量。需要规定的测试气体来确定响应系数，这些响应系数可通过多种方法产生，包括静态方法（气体收集器或直接注入）或动态方法（例如蒸汽压力法或来自压缩气瓶中经认证的测试气体）。</w:t>
            </w:r>
          </w:p>
        </w:tc>
      </w:tr>
      <w:tr w14:paraId="1A3ADF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00" w:hRule="atLeast"/>
          <w:tblHeader/>
          <w:jc w:val="center"/>
        </w:trPr>
        <w:tc>
          <w:tcPr>
            <w:tcW w:w="694" w:type="dxa"/>
            <w:vAlign w:val="center"/>
          </w:tcPr>
          <w:p w14:paraId="68C42F07">
            <w:pPr>
              <w:autoSpaceDE w:val="0"/>
              <w:autoSpaceDN w:val="0"/>
              <w:adjustRightInd w:val="0"/>
              <w:spacing w:line="276" w:lineRule="auto"/>
              <w:jc w:val="center"/>
              <w:rPr>
                <w:kern w:val="0"/>
                <w:sz w:val="18"/>
                <w:szCs w:val="18"/>
              </w:rPr>
            </w:pPr>
            <w:r>
              <w:rPr>
                <w:kern w:val="0"/>
                <w:sz w:val="18"/>
                <w:szCs w:val="18"/>
              </w:rPr>
              <w:t>检出限</w:t>
            </w:r>
          </w:p>
        </w:tc>
        <w:tc>
          <w:tcPr>
            <w:tcW w:w="1966" w:type="dxa"/>
            <w:vAlign w:val="center"/>
          </w:tcPr>
          <w:p w14:paraId="1CAB96F9">
            <w:pPr>
              <w:autoSpaceDE w:val="0"/>
              <w:autoSpaceDN w:val="0"/>
              <w:adjustRightInd w:val="0"/>
              <w:spacing w:line="276" w:lineRule="auto"/>
              <w:jc w:val="center"/>
              <w:rPr>
                <w:kern w:val="0"/>
                <w:sz w:val="18"/>
                <w:szCs w:val="18"/>
              </w:rPr>
            </w:pPr>
            <w:r>
              <w:rPr>
                <w:kern w:val="0"/>
                <w:sz w:val="18"/>
                <w:szCs w:val="18"/>
              </w:rPr>
              <w:t>甲烷、总烃0.06mg/m</w:t>
            </w:r>
            <w:r>
              <w:rPr>
                <w:kern w:val="0"/>
                <w:sz w:val="18"/>
                <w:szCs w:val="18"/>
                <w:vertAlign w:val="superscript"/>
              </w:rPr>
              <w:t>3</w:t>
            </w:r>
            <w:r>
              <w:rPr>
                <w:kern w:val="0"/>
                <w:sz w:val="18"/>
                <w:szCs w:val="18"/>
              </w:rPr>
              <w:t>（以碳计）；非甲烷总烃0.07mg/m</w:t>
            </w:r>
            <w:r>
              <w:rPr>
                <w:kern w:val="0"/>
                <w:sz w:val="18"/>
                <w:szCs w:val="18"/>
                <w:vertAlign w:val="superscript"/>
              </w:rPr>
              <w:t>3</w:t>
            </w:r>
            <w:r>
              <w:rPr>
                <w:kern w:val="0"/>
                <w:sz w:val="18"/>
                <w:szCs w:val="18"/>
              </w:rPr>
              <w:t>（以碳计）</w:t>
            </w:r>
          </w:p>
        </w:tc>
        <w:tc>
          <w:tcPr>
            <w:tcW w:w="1701" w:type="dxa"/>
            <w:vAlign w:val="center"/>
          </w:tcPr>
          <w:p w14:paraId="731D3EB4">
            <w:pPr>
              <w:autoSpaceDE w:val="0"/>
              <w:autoSpaceDN w:val="0"/>
              <w:adjustRightInd w:val="0"/>
              <w:spacing w:line="276" w:lineRule="auto"/>
              <w:jc w:val="center"/>
              <w:rPr>
                <w:kern w:val="0"/>
                <w:sz w:val="18"/>
                <w:szCs w:val="18"/>
              </w:rPr>
            </w:pPr>
            <w:r>
              <w:rPr>
                <w:kern w:val="0"/>
                <w:sz w:val="18"/>
                <w:szCs w:val="18"/>
              </w:rPr>
              <w:t>0.1mg/m</w:t>
            </w:r>
            <w:r>
              <w:rPr>
                <w:kern w:val="0"/>
                <w:sz w:val="18"/>
                <w:szCs w:val="18"/>
                <w:vertAlign w:val="superscript"/>
              </w:rPr>
              <w:t>3</w:t>
            </w:r>
          </w:p>
        </w:tc>
        <w:tc>
          <w:tcPr>
            <w:tcW w:w="2449" w:type="dxa"/>
            <w:vAlign w:val="center"/>
          </w:tcPr>
          <w:p w14:paraId="389B2B64">
            <w:pPr>
              <w:autoSpaceDE w:val="0"/>
              <w:autoSpaceDN w:val="0"/>
              <w:adjustRightInd w:val="0"/>
              <w:spacing w:line="276" w:lineRule="auto"/>
              <w:jc w:val="center"/>
              <w:rPr>
                <w:kern w:val="0"/>
                <w:sz w:val="18"/>
                <w:szCs w:val="18"/>
              </w:rPr>
            </w:pPr>
            <w:r>
              <w:rPr>
                <w:kern w:val="0"/>
                <w:sz w:val="18"/>
                <w:szCs w:val="18"/>
              </w:rPr>
              <w:t>总烃、甲烷的检出限均为0.14 mg/m</w:t>
            </w:r>
            <w:r>
              <w:rPr>
                <w:kern w:val="0"/>
                <w:sz w:val="18"/>
                <w:szCs w:val="18"/>
                <w:vertAlign w:val="superscript"/>
              </w:rPr>
              <w:t>3</w:t>
            </w:r>
            <w:r>
              <w:rPr>
                <w:kern w:val="0"/>
                <w:sz w:val="18"/>
                <w:szCs w:val="18"/>
              </w:rPr>
              <w:t>（以甲烷计）；非甲烷总烃的检出限为0.10mg/m</w:t>
            </w:r>
            <w:r>
              <w:rPr>
                <w:kern w:val="0"/>
                <w:sz w:val="18"/>
                <w:szCs w:val="18"/>
                <w:vertAlign w:val="superscript"/>
              </w:rPr>
              <w:t>3</w:t>
            </w:r>
            <w:r>
              <w:rPr>
                <w:kern w:val="0"/>
                <w:sz w:val="18"/>
                <w:szCs w:val="18"/>
              </w:rPr>
              <w:t>（以碳计）</w:t>
            </w:r>
          </w:p>
        </w:tc>
        <w:tc>
          <w:tcPr>
            <w:tcW w:w="2512" w:type="dxa"/>
            <w:vAlign w:val="center"/>
          </w:tcPr>
          <w:p w14:paraId="0F43426D">
            <w:pPr>
              <w:autoSpaceDE w:val="0"/>
              <w:autoSpaceDN w:val="0"/>
              <w:adjustRightInd w:val="0"/>
              <w:spacing w:line="276" w:lineRule="auto"/>
              <w:jc w:val="center"/>
              <w:rPr>
                <w:sz w:val="18"/>
                <w:szCs w:val="18"/>
              </w:rPr>
            </w:pPr>
            <w:r>
              <w:rPr>
                <w:sz w:val="18"/>
                <w:szCs w:val="18"/>
              </w:rPr>
              <w:t>非甲烷有机物</w:t>
            </w:r>
          </w:p>
          <w:p w14:paraId="426676CB">
            <w:pPr>
              <w:autoSpaceDE w:val="0"/>
              <w:autoSpaceDN w:val="0"/>
              <w:adjustRightInd w:val="0"/>
              <w:spacing w:line="276" w:lineRule="auto"/>
              <w:jc w:val="center"/>
              <w:rPr>
                <w:kern w:val="0"/>
                <w:sz w:val="18"/>
                <w:szCs w:val="18"/>
              </w:rPr>
            </w:pPr>
            <w:r>
              <w:rPr>
                <w:kern w:val="0"/>
                <w:sz w:val="18"/>
                <w:szCs w:val="18"/>
              </w:rPr>
              <w:t>检出下限：50ppm</w:t>
            </w:r>
          </w:p>
          <w:p w14:paraId="149AC90C">
            <w:pPr>
              <w:autoSpaceDE w:val="0"/>
              <w:autoSpaceDN w:val="0"/>
              <w:adjustRightInd w:val="0"/>
              <w:spacing w:line="276" w:lineRule="auto"/>
              <w:jc w:val="center"/>
              <w:rPr>
                <w:kern w:val="0"/>
                <w:sz w:val="18"/>
                <w:szCs w:val="18"/>
              </w:rPr>
            </w:pPr>
          </w:p>
        </w:tc>
        <w:tc>
          <w:tcPr>
            <w:tcW w:w="2126" w:type="dxa"/>
            <w:vAlign w:val="center"/>
          </w:tcPr>
          <w:p w14:paraId="0828A67D">
            <w:pPr>
              <w:autoSpaceDE w:val="0"/>
              <w:autoSpaceDN w:val="0"/>
              <w:adjustRightInd w:val="0"/>
              <w:spacing w:line="276" w:lineRule="auto"/>
              <w:jc w:val="center"/>
              <w:rPr>
                <w:kern w:val="0"/>
                <w:sz w:val="18"/>
                <w:szCs w:val="18"/>
              </w:rPr>
            </w:pPr>
            <w:r>
              <w:rPr>
                <w:sz w:val="18"/>
                <w:szCs w:val="18"/>
              </w:rPr>
              <w:t>TOC检出限：</w:t>
            </w:r>
            <w:r>
              <w:rPr>
                <w:kern w:val="0"/>
                <w:sz w:val="18"/>
                <w:szCs w:val="18"/>
              </w:rPr>
              <w:t>0.1mg/m</w:t>
            </w:r>
            <w:r>
              <w:rPr>
                <w:kern w:val="0"/>
                <w:sz w:val="18"/>
                <w:szCs w:val="18"/>
                <w:vertAlign w:val="superscript"/>
              </w:rPr>
              <w:t>3</w:t>
            </w:r>
          </w:p>
        </w:tc>
        <w:tc>
          <w:tcPr>
            <w:tcW w:w="1560" w:type="dxa"/>
            <w:vAlign w:val="center"/>
          </w:tcPr>
          <w:p w14:paraId="6EB6B92B">
            <w:pPr>
              <w:autoSpaceDE w:val="0"/>
              <w:autoSpaceDN w:val="0"/>
              <w:adjustRightInd w:val="0"/>
              <w:spacing w:line="276" w:lineRule="auto"/>
              <w:jc w:val="center"/>
              <w:rPr>
                <w:kern w:val="0"/>
                <w:sz w:val="18"/>
                <w:szCs w:val="18"/>
              </w:rPr>
            </w:pPr>
            <w:r>
              <w:rPr>
                <w:kern w:val="0"/>
                <w:sz w:val="18"/>
                <w:szCs w:val="18"/>
              </w:rPr>
              <w:t>甲烷：2..0mg/m</w:t>
            </w:r>
            <w:r>
              <w:rPr>
                <w:kern w:val="0"/>
                <w:sz w:val="18"/>
                <w:szCs w:val="18"/>
                <w:vertAlign w:val="superscript"/>
              </w:rPr>
              <w:t>3</w:t>
            </w:r>
          </w:p>
        </w:tc>
        <w:tc>
          <w:tcPr>
            <w:tcW w:w="2606" w:type="dxa"/>
            <w:vAlign w:val="center"/>
          </w:tcPr>
          <w:p w14:paraId="47462004">
            <w:pPr>
              <w:autoSpaceDE w:val="0"/>
              <w:autoSpaceDN w:val="0"/>
              <w:adjustRightInd w:val="0"/>
              <w:spacing w:line="276" w:lineRule="auto"/>
              <w:jc w:val="center"/>
              <w:rPr>
                <w:kern w:val="0"/>
                <w:sz w:val="18"/>
                <w:szCs w:val="18"/>
              </w:rPr>
            </w:pPr>
            <w:r>
              <w:rPr>
                <w:kern w:val="0"/>
                <w:sz w:val="18"/>
                <w:szCs w:val="18"/>
              </w:rPr>
              <w:t>0.4mg/m</w:t>
            </w:r>
            <w:r>
              <w:rPr>
                <w:kern w:val="0"/>
                <w:sz w:val="18"/>
                <w:szCs w:val="18"/>
                <w:vertAlign w:val="superscript"/>
              </w:rPr>
              <w:t>3</w:t>
            </w:r>
          </w:p>
        </w:tc>
      </w:tr>
      <w:tr w14:paraId="62080D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94" w:type="dxa"/>
            <w:vAlign w:val="center"/>
          </w:tcPr>
          <w:p w14:paraId="27F4A2DB">
            <w:pPr>
              <w:autoSpaceDE w:val="0"/>
              <w:autoSpaceDN w:val="0"/>
              <w:adjustRightInd w:val="0"/>
              <w:spacing w:line="276" w:lineRule="auto"/>
              <w:jc w:val="center"/>
              <w:rPr>
                <w:kern w:val="0"/>
                <w:sz w:val="18"/>
                <w:szCs w:val="18"/>
              </w:rPr>
            </w:pPr>
            <w:r>
              <w:rPr>
                <w:kern w:val="0"/>
                <w:sz w:val="18"/>
                <w:szCs w:val="18"/>
              </w:rPr>
              <w:t>零点漂移</w:t>
            </w:r>
          </w:p>
        </w:tc>
        <w:tc>
          <w:tcPr>
            <w:tcW w:w="1966" w:type="dxa"/>
            <w:vAlign w:val="center"/>
          </w:tcPr>
          <w:p w14:paraId="4271B0B9">
            <w:pPr>
              <w:autoSpaceDE w:val="0"/>
              <w:autoSpaceDN w:val="0"/>
              <w:adjustRightInd w:val="0"/>
              <w:spacing w:line="276" w:lineRule="auto"/>
              <w:jc w:val="center"/>
              <w:rPr>
                <w:kern w:val="0"/>
                <w:sz w:val="18"/>
                <w:szCs w:val="18"/>
              </w:rPr>
            </w:pPr>
            <w:r>
              <w:rPr>
                <w:kern w:val="0"/>
                <w:sz w:val="18"/>
                <w:szCs w:val="18"/>
              </w:rPr>
              <w:t>无</w:t>
            </w:r>
          </w:p>
        </w:tc>
        <w:tc>
          <w:tcPr>
            <w:tcW w:w="1701" w:type="dxa"/>
            <w:vAlign w:val="center"/>
          </w:tcPr>
          <w:p w14:paraId="484284A3">
            <w:pPr>
              <w:autoSpaceDE w:val="0"/>
              <w:autoSpaceDN w:val="0"/>
              <w:adjustRightInd w:val="0"/>
              <w:spacing w:line="276" w:lineRule="auto"/>
              <w:jc w:val="center"/>
              <w:rPr>
                <w:kern w:val="0"/>
                <w:sz w:val="18"/>
                <w:szCs w:val="18"/>
              </w:rPr>
            </w:pPr>
            <w:r>
              <w:rPr>
                <w:kern w:val="0"/>
                <w:sz w:val="18"/>
                <w:szCs w:val="18"/>
              </w:rPr>
              <w:t>无</w:t>
            </w:r>
          </w:p>
        </w:tc>
        <w:tc>
          <w:tcPr>
            <w:tcW w:w="2449" w:type="dxa"/>
            <w:vAlign w:val="center"/>
          </w:tcPr>
          <w:p w14:paraId="59BCABA4">
            <w:pPr>
              <w:autoSpaceDE w:val="0"/>
              <w:autoSpaceDN w:val="0"/>
              <w:adjustRightInd w:val="0"/>
              <w:spacing w:line="276" w:lineRule="auto"/>
              <w:jc w:val="center"/>
              <w:rPr>
                <w:kern w:val="0"/>
                <w:sz w:val="18"/>
                <w:szCs w:val="18"/>
              </w:rPr>
            </w:pPr>
            <w:r>
              <w:rPr>
                <w:kern w:val="0"/>
                <w:sz w:val="18"/>
                <w:szCs w:val="18"/>
              </w:rPr>
              <w:t>无</w:t>
            </w:r>
          </w:p>
        </w:tc>
        <w:tc>
          <w:tcPr>
            <w:tcW w:w="2512" w:type="dxa"/>
            <w:vAlign w:val="center"/>
          </w:tcPr>
          <w:p w14:paraId="3C4CBC1D">
            <w:pPr>
              <w:autoSpaceDE w:val="0"/>
              <w:autoSpaceDN w:val="0"/>
              <w:adjustRightInd w:val="0"/>
              <w:spacing w:line="276" w:lineRule="auto"/>
              <w:jc w:val="center"/>
              <w:rPr>
                <w:kern w:val="0"/>
                <w:sz w:val="18"/>
                <w:szCs w:val="18"/>
              </w:rPr>
            </w:pPr>
            <w:r>
              <w:rPr>
                <w:kern w:val="0"/>
                <w:sz w:val="18"/>
                <w:szCs w:val="18"/>
              </w:rPr>
              <w:t>无</w:t>
            </w:r>
          </w:p>
        </w:tc>
        <w:tc>
          <w:tcPr>
            <w:tcW w:w="2126" w:type="dxa"/>
            <w:vAlign w:val="center"/>
          </w:tcPr>
          <w:p w14:paraId="41996870">
            <w:pPr>
              <w:autoSpaceDE w:val="0"/>
              <w:autoSpaceDN w:val="0"/>
              <w:adjustRightInd w:val="0"/>
              <w:spacing w:line="276" w:lineRule="auto"/>
              <w:jc w:val="center"/>
              <w:rPr>
                <w:kern w:val="0"/>
                <w:sz w:val="18"/>
                <w:szCs w:val="18"/>
              </w:rPr>
            </w:pPr>
            <w:r>
              <w:rPr>
                <w:kern w:val="0"/>
                <w:sz w:val="18"/>
                <w:szCs w:val="18"/>
              </w:rPr>
              <w:t>相对误差不超过±3%</w:t>
            </w:r>
          </w:p>
        </w:tc>
        <w:tc>
          <w:tcPr>
            <w:tcW w:w="1560" w:type="dxa"/>
            <w:vAlign w:val="center"/>
          </w:tcPr>
          <w:p w14:paraId="3ECA4B1B">
            <w:pPr>
              <w:autoSpaceDE w:val="0"/>
              <w:autoSpaceDN w:val="0"/>
              <w:adjustRightInd w:val="0"/>
              <w:spacing w:line="276" w:lineRule="auto"/>
              <w:jc w:val="center"/>
              <w:rPr>
                <w:kern w:val="0"/>
                <w:sz w:val="18"/>
                <w:szCs w:val="18"/>
              </w:rPr>
            </w:pPr>
            <w:r>
              <w:rPr>
                <w:kern w:val="0"/>
                <w:sz w:val="18"/>
                <w:szCs w:val="18"/>
              </w:rPr>
              <w:t>无</w:t>
            </w:r>
          </w:p>
        </w:tc>
        <w:tc>
          <w:tcPr>
            <w:tcW w:w="2606" w:type="dxa"/>
            <w:vAlign w:val="center"/>
          </w:tcPr>
          <w:p w14:paraId="38AC8694">
            <w:pPr>
              <w:autoSpaceDE w:val="0"/>
              <w:autoSpaceDN w:val="0"/>
              <w:adjustRightInd w:val="0"/>
              <w:spacing w:line="276" w:lineRule="auto"/>
              <w:jc w:val="center"/>
              <w:rPr>
                <w:kern w:val="0"/>
                <w:sz w:val="18"/>
                <w:szCs w:val="18"/>
              </w:rPr>
            </w:pPr>
            <w:r>
              <w:rPr>
                <w:kern w:val="0"/>
                <w:sz w:val="18"/>
                <w:szCs w:val="18"/>
              </w:rPr>
              <w:t>无</w:t>
            </w:r>
          </w:p>
        </w:tc>
      </w:tr>
      <w:tr w14:paraId="4B84AE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94" w:type="dxa"/>
            <w:vAlign w:val="center"/>
          </w:tcPr>
          <w:p w14:paraId="57B38E25">
            <w:pPr>
              <w:autoSpaceDE w:val="0"/>
              <w:autoSpaceDN w:val="0"/>
              <w:adjustRightInd w:val="0"/>
              <w:spacing w:line="276" w:lineRule="auto"/>
              <w:jc w:val="center"/>
              <w:rPr>
                <w:kern w:val="0"/>
                <w:sz w:val="18"/>
                <w:szCs w:val="18"/>
              </w:rPr>
            </w:pPr>
            <w:r>
              <w:rPr>
                <w:kern w:val="0"/>
                <w:sz w:val="18"/>
                <w:szCs w:val="18"/>
              </w:rPr>
              <w:t>量程漂移</w:t>
            </w:r>
          </w:p>
        </w:tc>
        <w:tc>
          <w:tcPr>
            <w:tcW w:w="1966" w:type="dxa"/>
            <w:vAlign w:val="center"/>
          </w:tcPr>
          <w:p w14:paraId="44784813">
            <w:pPr>
              <w:autoSpaceDE w:val="0"/>
              <w:autoSpaceDN w:val="0"/>
              <w:adjustRightInd w:val="0"/>
              <w:spacing w:line="276" w:lineRule="auto"/>
              <w:jc w:val="center"/>
              <w:rPr>
                <w:kern w:val="0"/>
                <w:sz w:val="18"/>
                <w:szCs w:val="18"/>
              </w:rPr>
            </w:pPr>
            <w:r>
              <w:rPr>
                <w:kern w:val="0"/>
                <w:sz w:val="18"/>
                <w:szCs w:val="18"/>
              </w:rPr>
              <w:t>无</w:t>
            </w:r>
          </w:p>
        </w:tc>
        <w:tc>
          <w:tcPr>
            <w:tcW w:w="1701" w:type="dxa"/>
            <w:vAlign w:val="center"/>
          </w:tcPr>
          <w:p w14:paraId="3363E43A">
            <w:pPr>
              <w:autoSpaceDE w:val="0"/>
              <w:autoSpaceDN w:val="0"/>
              <w:adjustRightInd w:val="0"/>
              <w:spacing w:line="276" w:lineRule="auto"/>
              <w:jc w:val="center"/>
              <w:rPr>
                <w:kern w:val="0"/>
                <w:sz w:val="18"/>
                <w:szCs w:val="18"/>
              </w:rPr>
            </w:pPr>
            <w:r>
              <w:rPr>
                <w:kern w:val="0"/>
                <w:sz w:val="18"/>
                <w:szCs w:val="18"/>
              </w:rPr>
              <w:t>无</w:t>
            </w:r>
          </w:p>
        </w:tc>
        <w:tc>
          <w:tcPr>
            <w:tcW w:w="2449" w:type="dxa"/>
            <w:vAlign w:val="center"/>
          </w:tcPr>
          <w:p w14:paraId="5B8D77AC">
            <w:pPr>
              <w:autoSpaceDE w:val="0"/>
              <w:autoSpaceDN w:val="0"/>
              <w:adjustRightInd w:val="0"/>
              <w:spacing w:line="276" w:lineRule="auto"/>
              <w:jc w:val="center"/>
              <w:rPr>
                <w:kern w:val="0"/>
                <w:sz w:val="18"/>
                <w:szCs w:val="18"/>
              </w:rPr>
            </w:pPr>
            <w:r>
              <w:rPr>
                <w:kern w:val="0"/>
                <w:sz w:val="18"/>
                <w:szCs w:val="18"/>
              </w:rPr>
              <w:t>无</w:t>
            </w:r>
          </w:p>
        </w:tc>
        <w:tc>
          <w:tcPr>
            <w:tcW w:w="2512" w:type="dxa"/>
            <w:vAlign w:val="center"/>
          </w:tcPr>
          <w:p w14:paraId="2E1FB8C4">
            <w:pPr>
              <w:autoSpaceDE w:val="0"/>
              <w:autoSpaceDN w:val="0"/>
              <w:adjustRightInd w:val="0"/>
              <w:spacing w:line="276" w:lineRule="auto"/>
              <w:jc w:val="center"/>
              <w:rPr>
                <w:kern w:val="0"/>
                <w:sz w:val="18"/>
                <w:szCs w:val="18"/>
              </w:rPr>
            </w:pPr>
            <w:r>
              <w:rPr>
                <w:kern w:val="0"/>
                <w:sz w:val="18"/>
                <w:szCs w:val="18"/>
              </w:rPr>
              <w:t>无</w:t>
            </w:r>
          </w:p>
        </w:tc>
        <w:tc>
          <w:tcPr>
            <w:tcW w:w="2126" w:type="dxa"/>
            <w:vAlign w:val="center"/>
          </w:tcPr>
          <w:p w14:paraId="6672D011">
            <w:pPr>
              <w:autoSpaceDE w:val="0"/>
              <w:autoSpaceDN w:val="0"/>
              <w:adjustRightInd w:val="0"/>
              <w:spacing w:line="276" w:lineRule="auto"/>
              <w:jc w:val="center"/>
              <w:rPr>
                <w:kern w:val="0"/>
                <w:sz w:val="18"/>
                <w:szCs w:val="18"/>
              </w:rPr>
            </w:pPr>
            <w:r>
              <w:rPr>
                <w:kern w:val="0"/>
                <w:sz w:val="18"/>
                <w:szCs w:val="18"/>
              </w:rPr>
              <w:t>无</w:t>
            </w:r>
          </w:p>
        </w:tc>
        <w:tc>
          <w:tcPr>
            <w:tcW w:w="1560" w:type="dxa"/>
            <w:vAlign w:val="center"/>
          </w:tcPr>
          <w:p w14:paraId="5C6218EC">
            <w:pPr>
              <w:autoSpaceDE w:val="0"/>
              <w:autoSpaceDN w:val="0"/>
              <w:adjustRightInd w:val="0"/>
              <w:spacing w:line="276" w:lineRule="auto"/>
              <w:jc w:val="center"/>
              <w:rPr>
                <w:kern w:val="0"/>
                <w:sz w:val="18"/>
                <w:szCs w:val="18"/>
              </w:rPr>
            </w:pPr>
            <w:r>
              <w:rPr>
                <w:kern w:val="0"/>
                <w:sz w:val="18"/>
                <w:szCs w:val="18"/>
              </w:rPr>
              <w:t>无</w:t>
            </w:r>
          </w:p>
        </w:tc>
        <w:tc>
          <w:tcPr>
            <w:tcW w:w="2606" w:type="dxa"/>
            <w:vAlign w:val="center"/>
          </w:tcPr>
          <w:p w14:paraId="3BFDF16D">
            <w:pPr>
              <w:autoSpaceDE w:val="0"/>
              <w:autoSpaceDN w:val="0"/>
              <w:adjustRightInd w:val="0"/>
              <w:spacing w:line="276" w:lineRule="auto"/>
              <w:jc w:val="center"/>
              <w:rPr>
                <w:kern w:val="0"/>
                <w:sz w:val="18"/>
                <w:szCs w:val="18"/>
              </w:rPr>
            </w:pPr>
            <w:r>
              <w:rPr>
                <w:kern w:val="0"/>
                <w:sz w:val="18"/>
                <w:szCs w:val="18"/>
              </w:rPr>
              <w:t>无</w:t>
            </w:r>
          </w:p>
        </w:tc>
      </w:tr>
      <w:tr w14:paraId="7F4F4C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94" w:type="dxa"/>
            <w:vAlign w:val="center"/>
          </w:tcPr>
          <w:p w14:paraId="46745D0A">
            <w:pPr>
              <w:autoSpaceDE w:val="0"/>
              <w:autoSpaceDN w:val="0"/>
              <w:adjustRightInd w:val="0"/>
              <w:spacing w:line="276" w:lineRule="auto"/>
              <w:jc w:val="center"/>
              <w:rPr>
                <w:kern w:val="0"/>
                <w:sz w:val="18"/>
                <w:szCs w:val="18"/>
              </w:rPr>
            </w:pPr>
            <w:r>
              <w:rPr>
                <w:kern w:val="0"/>
                <w:sz w:val="18"/>
                <w:szCs w:val="18"/>
              </w:rPr>
              <w:t>示值误差</w:t>
            </w:r>
          </w:p>
        </w:tc>
        <w:tc>
          <w:tcPr>
            <w:tcW w:w="1966" w:type="dxa"/>
            <w:vAlign w:val="center"/>
          </w:tcPr>
          <w:p w14:paraId="61228A75">
            <w:pPr>
              <w:autoSpaceDE w:val="0"/>
              <w:autoSpaceDN w:val="0"/>
              <w:adjustRightInd w:val="0"/>
              <w:spacing w:line="276" w:lineRule="auto"/>
              <w:jc w:val="center"/>
              <w:rPr>
                <w:kern w:val="0"/>
                <w:sz w:val="18"/>
                <w:szCs w:val="18"/>
              </w:rPr>
            </w:pPr>
            <w:r>
              <w:rPr>
                <w:kern w:val="0"/>
                <w:sz w:val="18"/>
                <w:szCs w:val="18"/>
              </w:rPr>
              <w:t>无</w:t>
            </w:r>
          </w:p>
        </w:tc>
        <w:tc>
          <w:tcPr>
            <w:tcW w:w="1701" w:type="dxa"/>
            <w:vAlign w:val="center"/>
          </w:tcPr>
          <w:p w14:paraId="7BCD6991">
            <w:pPr>
              <w:autoSpaceDE w:val="0"/>
              <w:autoSpaceDN w:val="0"/>
              <w:adjustRightInd w:val="0"/>
              <w:spacing w:line="276" w:lineRule="auto"/>
              <w:jc w:val="center"/>
              <w:rPr>
                <w:kern w:val="0"/>
                <w:sz w:val="18"/>
                <w:szCs w:val="18"/>
              </w:rPr>
            </w:pPr>
            <w:r>
              <w:rPr>
                <w:kern w:val="0"/>
                <w:sz w:val="18"/>
                <w:szCs w:val="18"/>
              </w:rPr>
              <w:t>示值误差绝对值：≤5%（浓度&lt;40mg/m</w:t>
            </w:r>
            <w:r>
              <w:rPr>
                <w:kern w:val="0"/>
                <w:sz w:val="18"/>
                <w:szCs w:val="18"/>
                <w:vertAlign w:val="superscript"/>
              </w:rPr>
              <w:t>3</w:t>
            </w:r>
            <w:r>
              <w:rPr>
                <w:kern w:val="0"/>
                <w:sz w:val="18"/>
                <w:szCs w:val="18"/>
              </w:rPr>
              <w:t>时，≤10%,以碳计）</w:t>
            </w:r>
          </w:p>
        </w:tc>
        <w:tc>
          <w:tcPr>
            <w:tcW w:w="2449" w:type="dxa"/>
            <w:vAlign w:val="center"/>
          </w:tcPr>
          <w:p w14:paraId="5907BB0F">
            <w:pPr>
              <w:autoSpaceDE w:val="0"/>
              <w:autoSpaceDN w:val="0"/>
              <w:adjustRightInd w:val="0"/>
              <w:spacing w:line="276" w:lineRule="auto"/>
              <w:jc w:val="center"/>
              <w:rPr>
                <w:kern w:val="0"/>
                <w:sz w:val="18"/>
                <w:szCs w:val="18"/>
              </w:rPr>
            </w:pPr>
            <w:r>
              <w:rPr>
                <w:kern w:val="0"/>
                <w:sz w:val="18"/>
                <w:szCs w:val="18"/>
              </w:rPr>
              <w:t>示值误差：不超过±10%</w:t>
            </w:r>
          </w:p>
        </w:tc>
        <w:tc>
          <w:tcPr>
            <w:tcW w:w="2512" w:type="dxa"/>
            <w:vAlign w:val="center"/>
          </w:tcPr>
          <w:p w14:paraId="7210CD6F">
            <w:pPr>
              <w:autoSpaceDE w:val="0"/>
              <w:autoSpaceDN w:val="0"/>
              <w:adjustRightInd w:val="0"/>
              <w:spacing w:line="276" w:lineRule="auto"/>
              <w:jc w:val="center"/>
              <w:rPr>
                <w:kern w:val="0"/>
                <w:sz w:val="18"/>
                <w:szCs w:val="18"/>
              </w:rPr>
            </w:pPr>
            <w:r>
              <w:rPr>
                <w:kern w:val="0"/>
                <w:sz w:val="18"/>
                <w:szCs w:val="18"/>
              </w:rPr>
              <w:t>无</w:t>
            </w:r>
          </w:p>
        </w:tc>
        <w:tc>
          <w:tcPr>
            <w:tcW w:w="2126" w:type="dxa"/>
            <w:vAlign w:val="center"/>
          </w:tcPr>
          <w:p w14:paraId="5CE9BD23">
            <w:pPr>
              <w:autoSpaceDE w:val="0"/>
              <w:autoSpaceDN w:val="0"/>
              <w:adjustRightInd w:val="0"/>
              <w:spacing w:line="276" w:lineRule="auto"/>
              <w:jc w:val="center"/>
              <w:rPr>
                <w:kern w:val="0"/>
                <w:sz w:val="18"/>
                <w:szCs w:val="18"/>
              </w:rPr>
            </w:pPr>
            <w:r>
              <w:rPr>
                <w:kern w:val="0"/>
                <w:sz w:val="18"/>
                <w:szCs w:val="18"/>
              </w:rPr>
              <w:t>无</w:t>
            </w:r>
          </w:p>
        </w:tc>
        <w:tc>
          <w:tcPr>
            <w:tcW w:w="1560" w:type="dxa"/>
            <w:vAlign w:val="center"/>
          </w:tcPr>
          <w:p w14:paraId="57F8D1E1">
            <w:pPr>
              <w:autoSpaceDE w:val="0"/>
              <w:autoSpaceDN w:val="0"/>
              <w:adjustRightInd w:val="0"/>
              <w:spacing w:line="276" w:lineRule="auto"/>
              <w:jc w:val="center"/>
              <w:rPr>
                <w:kern w:val="0"/>
                <w:sz w:val="18"/>
                <w:szCs w:val="18"/>
              </w:rPr>
            </w:pPr>
            <w:r>
              <w:rPr>
                <w:kern w:val="0"/>
                <w:sz w:val="18"/>
                <w:szCs w:val="18"/>
              </w:rPr>
              <w:t>无</w:t>
            </w:r>
          </w:p>
        </w:tc>
        <w:tc>
          <w:tcPr>
            <w:tcW w:w="2606" w:type="dxa"/>
            <w:vAlign w:val="center"/>
          </w:tcPr>
          <w:p w14:paraId="56EAA92B">
            <w:pPr>
              <w:autoSpaceDE w:val="0"/>
              <w:autoSpaceDN w:val="0"/>
              <w:adjustRightInd w:val="0"/>
              <w:spacing w:line="276" w:lineRule="auto"/>
              <w:jc w:val="center"/>
              <w:rPr>
                <w:kern w:val="0"/>
                <w:sz w:val="18"/>
                <w:szCs w:val="18"/>
              </w:rPr>
            </w:pPr>
            <w:r>
              <w:rPr>
                <w:kern w:val="0"/>
                <w:sz w:val="18"/>
                <w:szCs w:val="18"/>
              </w:rPr>
              <w:t>无</w:t>
            </w:r>
          </w:p>
        </w:tc>
      </w:tr>
      <w:tr w14:paraId="17929B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7" w:hRule="atLeast"/>
          <w:tblHeader/>
          <w:jc w:val="center"/>
        </w:trPr>
        <w:tc>
          <w:tcPr>
            <w:tcW w:w="694" w:type="dxa"/>
            <w:vAlign w:val="center"/>
          </w:tcPr>
          <w:p w14:paraId="6B4FEEEE">
            <w:pPr>
              <w:autoSpaceDE w:val="0"/>
              <w:autoSpaceDN w:val="0"/>
              <w:adjustRightInd w:val="0"/>
              <w:spacing w:line="276" w:lineRule="auto"/>
              <w:jc w:val="center"/>
              <w:rPr>
                <w:kern w:val="0"/>
                <w:sz w:val="18"/>
                <w:szCs w:val="18"/>
              </w:rPr>
            </w:pPr>
            <w:r>
              <w:rPr>
                <w:kern w:val="0"/>
                <w:sz w:val="18"/>
                <w:szCs w:val="18"/>
              </w:rPr>
              <w:t>系统</w:t>
            </w:r>
            <w:r>
              <w:rPr>
                <w:rFonts w:hint="eastAsia"/>
                <w:kern w:val="0"/>
                <w:sz w:val="18"/>
                <w:szCs w:val="18"/>
              </w:rPr>
              <w:t>误</w:t>
            </w:r>
            <w:r>
              <w:rPr>
                <w:kern w:val="0"/>
                <w:sz w:val="18"/>
                <w:szCs w:val="18"/>
              </w:rPr>
              <w:t>差</w:t>
            </w:r>
          </w:p>
        </w:tc>
        <w:tc>
          <w:tcPr>
            <w:tcW w:w="1966" w:type="dxa"/>
            <w:vAlign w:val="center"/>
          </w:tcPr>
          <w:p w14:paraId="1621C551">
            <w:pPr>
              <w:autoSpaceDE w:val="0"/>
              <w:autoSpaceDN w:val="0"/>
              <w:adjustRightInd w:val="0"/>
              <w:spacing w:line="276" w:lineRule="auto"/>
              <w:jc w:val="center"/>
              <w:rPr>
                <w:kern w:val="0"/>
                <w:sz w:val="18"/>
                <w:szCs w:val="18"/>
              </w:rPr>
            </w:pPr>
            <w:r>
              <w:rPr>
                <w:kern w:val="0"/>
                <w:sz w:val="18"/>
                <w:szCs w:val="18"/>
              </w:rPr>
              <w:t>无</w:t>
            </w:r>
          </w:p>
        </w:tc>
        <w:tc>
          <w:tcPr>
            <w:tcW w:w="1701" w:type="dxa"/>
            <w:vAlign w:val="center"/>
          </w:tcPr>
          <w:p w14:paraId="3E3B5CDA">
            <w:pPr>
              <w:autoSpaceDE w:val="0"/>
              <w:autoSpaceDN w:val="0"/>
              <w:adjustRightInd w:val="0"/>
              <w:spacing w:line="276" w:lineRule="auto"/>
              <w:jc w:val="center"/>
              <w:rPr>
                <w:kern w:val="0"/>
                <w:sz w:val="18"/>
                <w:szCs w:val="18"/>
              </w:rPr>
            </w:pPr>
            <w:r>
              <w:rPr>
                <w:kern w:val="0"/>
                <w:sz w:val="18"/>
                <w:szCs w:val="18"/>
              </w:rPr>
              <w:t>系统</w:t>
            </w:r>
            <w:r>
              <w:rPr>
                <w:rFonts w:hint="eastAsia"/>
                <w:kern w:val="0"/>
                <w:sz w:val="18"/>
                <w:szCs w:val="18"/>
              </w:rPr>
              <w:t>误</w:t>
            </w:r>
            <w:r>
              <w:rPr>
                <w:kern w:val="0"/>
                <w:sz w:val="18"/>
                <w:szCs w:val="18"/>
              </w:rPr>
              <w:t>差绝对值：≤5%（浓度&lt;40mg/m</w:t>
            </w:r>
            <w:r>
              <w:rPr>
                <w:kern w:val="0"/>
                <w:sz w:val="18"/>
                <w:szCs w:val="18"/>
                <w:vertAlign w:val="superscript"/>
              </w:rPr>
              <w:t>3</w:t>
            </w:r>
            <w:r>
              <w:rPr>
                <w:kern w:val="0"/>
                <w:sz w:val="18"/>
                <w:szCs w:val="18"/>
              </w:rPr>
              <w:t>时，≤10%,以碳计）</w:t>
            </w:r>
          </w:p>
        </w:tc>
        <w:tc>
          <w:tcPr>
            <w:tcW w:w="2449" w:type="dxa"/>
            <w:vAlign w:val="center"/>
          </w:tcPr>
          <w:p w14:paraId="652E7ABF">
            <w:pPr>
              <w:autoSpaceDE w:val="0"/>
              <w:autoSpaceDN w:val="0"/>
              <w:adjustRightInd w:val="0"/>
              <w:spacing w:line="276" w:lineRule="auto"/>
              <w:jc w:val="center"/>
              <w:rPr>
                <w:kern w:val="0"/>
                <w:sz w:val="18"/>
                <w:szCs w:val="18"/>
              </w:rPr>
            </w:pPr>
            <w:r>
              <w:rPr>
                <w:kern w:val="0"/>
                <w:sz w:val="18"/>
                <w:szCs w:val="18"/>
              </w:rPr>
              <w:t>系统</w:t>
            </w:r>
            <w:r>
              <w:rPr>
                <w:rFonts w:hint="eastAsia"/>
                <w:kern w:val="0"/>
                <w:sz w:val="18"/>
                <w:szCs w:val="18"/>
              </w:rPr>
              <w:t>误</w:t>
            </w:r>
            <w:r>
              <w:rPr>
                <w:kern w:val="0"/>
                <w:sz w:val="18"/>
                <w:szCs w:val="18"/>
              </w:rPr>
              <w:t>差：不超过±10%</w:t>
            </w:r>
          </w:p>
        </w:tc>
        <w:tc>
          <w:tcPr>
            <w:tcW w:w="2512" w:type="dxa"/>
            <w:vAlign w:val="center"/>
          </w:tcPr>
          <w:p w14:paraId="77E53B54">
            <w:pPr>
              <w:autoSpaceDE w:val="0"/>
              <w:autoSpaceDN w:val="0"/>
              <w:adjustRightInd w:val="0"/>
              <w:spacing w:line="276" w:lineRule="auto"/>
              <w:jc w:val="center"/>
              <w:rPr>
                <w:kern w:val="0"/>
                <w:sz w:val="18"/>
                <w:szCs w:val="18"/>
              </w:rPr>
            </w:pPr>
            <w:r>
              <w:rPr>
                <w:kern w:val="0"/>
                <w:sz w:val="18"/>
                <w:szCs w:val="18"/>
              </w:rPr>
              <w:t>无</w:t>
            </w:r>
          </w:p>
        </w:tc>
        <w:tc>
          <w:tcPr>
            <w:tcW w:w="2126" w:type="dxa"/>
            <w:vAlign w:val="center"/>
          </w:tcPr>
          <w:p w14:paraId="10E8BC97">
            <w:pPr>
              <w:autoSpaceDE w:val="0"/>
              <w:autoSpaceDN w:val="0"/>
              <w:adjustRightInd w:val="0"/>
              <w:spacing w:line="276" w:lineRule="auto"/>
              <w:jc w:val="center"/>
              <w:rPr>
                <w:kern w:val="0"/>
                <w:sz w:val="20"/>
              </w:rPr>
            </w:pPr>
            <w:r>
              <w:rPr>
                <w:kern w:val="0"/>
                <w:sz w:val="20"/>
              </w:rPr>
              <w:t>无</w:t>
            </w:r>
          </w:p>
        </w:tc>
        <w:tc>
          <w:tcPr>
            <w:tcW w:w="1560" w:type="dxa"/>
            <w:vAlign w:val="center"/>
          </w:tcPr>
          <w:p w14:paraId="346493A1">
            <w:pPr>
              <w:autoSpaceDE w:val="0"/>
              <w:autoSpaceDN w:val="0"/>
              <w:adjustRightInd w:val="0"/>
              <w:spacing w:line="276" w:lineRule="auto"/>
              <w:jc w:val="center"/>
              <w:rPr>
                <w:kern w:val="0"/>
                <w:sz w:val="20"/>
              </w:rPr>
            </w:pPr>
            <w:r>
              <w:rPr>
                <w:kern w:val="0"/>
                <w:sz w:val="20"/>
              </w:rPr>
              <w:t>无</w:t>
            </w:r>
          </w:p>
        </w:tc>
        <w:tc>
          <w:tcPr>
            <w:tcW w:w="2606" w:type="dxa"/>
            <w:vAlign w:val="center"/>
          </w:tcPr>
          <w:p w14:paraId="7CA8D498">
            <w:pPr>
              <w:autoSpaceDE w:val="0"/>
              <w:autoSpaceDN w:val="0"/>
              <w:adjustRightInd w:val="0"/>
              <w:spacing w:line="276" w:lineRule="auto"/>
              <w:jc w:val="center"/>
              <w:rPr>
                <w:kern w:val="0"/>
                <w:sz w:val="20"/>
              </w:rPr>
            </w:pPr>
            <w:r>
              <w:rPr>
                <w:kern w:val="0"/>
                <w:sz w:val="20"/>
              </w:rPr>
              <w:t>无</w:t>
            </w:r>
          </w:p>
        </w:tc>
      </w:tr>
      <w:tr w14:paraId="115B44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694" w:type="dxa"/>
            <w:vAlign w:val="center"/>
          </w:tcPr>
          <w:p w14:paraId="6A12F6CD">
            <w:pPr>
              <w:rPr>
                <w:kern w:val="0"/>
                <w:sz w:val="18"/>
                <w:szCs w:val="18"/>
              </w:rPr>
            </w:pPr>
            <w:r>
              <w:rPr>
                <w:kern w:val="0"/>
                <w:sz w:val="18"/>
                <w:szCs w:val="18"/>
              </w:rPr>
              <w:t>干扰情况</w:t>
            </w:r>
          </w:p>
        </w:tc>
        <w:tc>
          <w:tcPr>
            <w:tcW w:w="1966" w:type="dxa"/>
            <w:vAlign w:val="center"/>
          </w:tcPr>
          <w:p w14:paraId="26C1FC09">
            <w:pPr>
              <w:rPr>
                <w:bCs/>
                <w:kern w:val="0"/>
                <w:sz w:val="18"/>
                <w:szCs w:val="18"/>
              </w:rPr>
            </w:pPr>
            <w:bookmarkStart w:id="33" w:name="_Toc68531087"/>
            <w:bookmarkStart w:id="34" w:name="_Toc88404325"/>
            <w:bookmarkStart w:id="35" w:name="_Toc20973"/>
            <w:bookmarkStart w:id="36" w:name="_Toc71179853"/>
            <w:bookmarkStart w:id="37" w:name="_Toc83915505"/>
            <w:r>
              <w:rPr>
                <w:bCs/>
                <w:kern w:val="0"/>
                <w:sz w:val="18"/>
                <w:szCs w:val="18"/>
              </w:rPr>
              <w:t>废气中的颗粒物可通过采样管滤尘装置消除或减少。以除烃空气测定氧的空白值，在测量时通过自动扣除氧峰干扰。</w:t>
            </w:r>
            <w:bookmarkEnd w:id="33"/>
            <w:bookmarkEnd w:id="34"/>
            <w:bookmarkEnd w:id="35"/>
            <w:bookmarkEnd w:id="36"/>
            <w:bookmarkEnd w:id="37"/>
          </w:p>
          <w:p w14:paraId="06C52A22">
            <w:pPr>
              <w:rPr>
                <w:kern w:val="0"/>
                <w:sz w:val="18"/>
                <w:szCs w:val="18"/>
              </w:rPr>
            </w:pPr>
          </w:p>
        </w:tc>
        <w:tc>
          <w:tcPr>
            <w:tcW w:w="1701" w:type="dxa"/>
            <w:vAlign w:val="center"/>
          </w:tcPr>
          <w:p w14:paraId="5171E2FA">
            <w:pPr>
              <w:rPr>
                <w:sz w:val="18"/>
                <w:szCs w:val="18"/>
              </w:rPr>
            </w:pPr>
            <w:bookmarkStart w:id="38" w:name="_Toc71179854"/>
            <w:bookmarkStart w:id="39" w:name="_Toc68531088"/>
            <w:r>
              <w:rPr>
                <w:sz w:val="18"/>
                <w:szCs w:val="18"/>
              </w:rPr>
              <w:t>废气中的颗粒物可通过采样管滤尘装置消除或减少。以除烃空气测定氧的空白值，在测量时通过自动扣除氧峰干扰。</w:t>
            </w:r>
            <w:bookmarkEnd w:id="38"/>
            <w:bookmarkEnd w:id="39"/>
          </w:p>
          <w:p w14:paraId="0D848CB6">
            <w:pPr>
              <w:rPr>
                <w:kern w:val="0"/>
                <w:sz w:val="18"/>
                <w:szCs w:val="18"/>
              </w:rPr>
            </w:pPr>
          </w:p>
        </w:tc>
        <w:tc>
          <w:tcPr>
            <w:tcW w:w="2449" w:type="dxa"/>
            <w:vAlign w:val="center"/>
          </w:tcPr>
          <w:p w14:paraId="5907D346">
            <w:pPr>
              <w:rPr>
                <w:sz w:val="18"/>
                <w:szCs w:val="18"/>
              </w:rPr>
            </w:pPr>
            <w:r>
              <w:rPr>
                <w:sz w:val="18"/>
                <w:szCs w:val="18"/>
              </w:rPr>
              <w:t>氧气对样品测定有干扰，便携式分析仪通过测定除烃空气得到氧峰，并在测量样品时自动扣除氧峰来消除干扰。废气中的颗粒物易吸附在分析仪管路内，影响样品测定，可通过采样管前端过滤装置进行消除。</w:t>
            </w:r>
          </w:p>
        </w:tc>
        <w:tc>
          <w:tcPr>
            <w:tcW w:w="2512" w:type="dxa"/>
            <w:vAlign w:val="center"/>
          </w:tcPr>
          <w:p w14:paraId="3D498364">
            <w:pPr>
              <w:rPr>
                <w:rFonts w:eastAsiaTheme="minorEastAsia"/>
                <w:sz w:val="18"/>
                <w:szCs w:val="18"/>
              </w:rPr>
            </w:pPr>
            <w:r>
              <w:rPr>
                <w:rFonts w:eastAsiaTheme="minorEastAsia"/>
                <w:sz w:val="18"/>
                <w:szCs w:val="18"/>
              </w:rPr>
              <w:t>CO</w:t>
            </w:r>
            <w:r>
              <w:rPr>
                <w:rFonts w:eastAsiaTheme="minorEastAsia"/>
                <w:sz w:val="18"/>
                <w:szCs w:val="18"/>
                <w:vertAlign w:val="subscript"/>
              </w:rPr>
              <w:t>2</w:t>
            </w:r>
            <w:r>
              <w:rPr>
                <w:rFonts w:eastAsiaTheme="minorEastAsia"/>
                <w:sz w:val="18"/>
                <w:szCs w:val="18"/>
              </w:rPr>
              <w:t>在分析中会产生干扰，当样品的含湿量较高，疏水阱中形成的冰含有溶解或截留的CO</w:t>
            </w:r>
            <w:r>
              <w:rPr>
                <w:rFonts w:eastAsiaTheme="minorEastAsia"/>
                <w:sz w:val="18"/>
                <w:szCs w:val="18"/>
                <w:vertAlign w:val="subscript"/>
              </w:rPr>
              <w:t>2</w:t>
            </w:r>
            <w:r>
              <w:rPr>
                <w:rFonts w:eastAsiaTheme="minorEastAsia"/>
                <w:sz w:val="18"/>
                <w:szCs w:val="18"/>
              </w:rPr>
              <w:t>，在冲洗过程中未去除时，这种干扰会很大。</w:t>
            </w:r>
          </w:p>
          <w:p w14:paraId="68C638A6">
            <w:pPr>
              <w:rPr>
                <w:rFonts w:eastAsiaTheme="minorEastAsia"/>
                <w:sz w:val="18"/>
                <w:szCs w:val="18"/>
              </w:rPr>
            </w:pPr>
            <w:r>
              <w:rPr>
                <w:rFonts w:eastAsiaTheme="minorEastAsia"/>
                <w:sz w:val="18"/>
                <w:szCs w:val="18"/>
              </w:rPr>
              <w:t>第一种方法是清除背景二氧化碳时先清除捕集阱，以防止再蒸发和有机物的损失。</w:t>
            </w:r>
          </w:p>
          <w:p w14:paraId="5F93E144">
            <w:pPr>
              <w:rPr>
                <w:rFonts w:eastAsiaTheme="minorEastAsia"/>
                <w:sz w:val="18"/>
                <w:szCs w:val="18"/>
              </w:rPr>
            </w:pPr>
            <w:r>
              <w:rPr>
                <w:rFonts w:eastAsiaTheme="minorEastAsia"/>
                <w:sz w:val="18"/>
                <w:szCs w:val="18"/>
              </w:rPr>
              <w:t>第二种方法是维持冷凝水阱中高沸点的有机物解吸过程中的高载气流速。对二氧化碳和含湿量高的样品分析表明，采用改良捕集阱回收系统可显著减少二氧化碳的干扰。</w:t>
            </w:r>
          </w:p>
        </w:tc>
        <w:tc>
          <w:tcPr>
            <w:tcW w:w="2126" w:type="dxa"/>
            <w:vAlign w:val="center"/>
          </w:tcPr>
          <w:p w14:paraId="2BE0AF37">
            <w:pPr>
              <w:rPr>
                <w:rFonts w:eastAsiaTheme="minorEastAsia"/>
                <w:sz w:val="18"/>
                <w:szCs w:val="18"/>
              </w:rPr>
            </w:pPr>
            <w:r>
              <w:rPr>
                <w:rFonts w:eastAsiaTheme="minorEastAsia"/>
                <w:sz w:val="18"/>
                <w:szCs w:val="18"/>
              </w:rPr>
              <w:t>采样气体中的水分含量高或采样包含非烃类化合物（包括醛类）的有机化合物混合物时的响应降低。</w:t>
            </w:r>
          </w:p>
          <w:p w14:paraId="2C642536">
            <w:pPr>
              <w:rPr>
                <w:rFonts w:eastAsiaTheme="minorEastAsia"/>
                <w:sz w:val="18"/>
                <w:szCs w:val="18"/>
              </w:rPr>
            </w:pPr>
            <w:r>
              <w:rPr>
                <w:rFonts w:eastAsiaTheme="minorEastAsia"/>
                <w:sz w:val="18"/>
                <w:szCs w:val="18"/>
              </w:rPr>
              <w:t>在采样管路中插入一个冷凝器，以除去气流中的水分并捕获水溶性的总气态有机物。</w:t>
            </w:r>
          </w:p>
          <w:p w14:paraId="48FEC97D">
            <w:pPr>
              <w:rPr>
                <w:rFonts w:eastAsiaTheme="minorEastAsia"/>
                <w:sz w:val="18"/>
                <w:szCs w:val="18"/>
              </w:rPr>
            </w:pPr>
          </w:p>
        </w:tc>
        <w:tc>
          <w:tcPr>
            <w:tcW w:w="1560" w:type="dxa"/>
            <w:vAlign w:val="center"/>
          </w:tcPr>
          <w:p w14:paraId="63ACCCAD">
            <w:pPr>
              <w:rPr>
                <w:rFonts w:eastAsiaTheme="minorEastAsia"/>
                <w:sz w:val="18"/>
                <w:szCs w:val="18"/>
              </w:rPr>
            </w:pPr>
            <w:r>
              <w:rPr>
                <w:rFonts w:eastAsiaTheme="minorEastAsia"/>
                <w:sz w:val="18"/>
                <w:szCs w:val="18"/>
              </w:rPr>
              <w:t>采样气体中的水分含量高或采样包含非烃类化合物（包括醛类）的有机化合物混合物时的响应降低。</w:t>
            </w:r>
          </w:p>
          <w:p w14:paraId="3B135616">
            <w:pPr>
              <w:rPr>
                <w:rFonts w:eastAsiaTheme="minorEastAsia"/>
                <w:sz w:val="18"/>
                <w:szCs w:val="18"/>
              </w:rPr>
            </w:pPr>
            <w:r>
              <w:rPr>
                <w:rFonts w:eastAsiaTheme="minorEastAsia"/>
                <w:sz w:val="18"/>
                <w:szCs w:val="18"/>
              </w:rPr>
              <w:t>在采样管路中插入一个冷凝器，以除去气流中的水分并捕获水溶性的总气态有机物。</w:t>
            </w:r>
          </w:p>
          <w:p w14:paraId="299019FB">
            <w:pPr>
              <w:rPr>
                <w:rFonts w:eastAsiaTheme="minorEastAsia"/>
                <w:sz w:val="18"/>
                <w:szCs w:val="18"/>
              </w:rPr>
            </w:pPr>
          </w:p>
        </w:tc>
        <w:tc>
          <w:tcPr>
            <w:tcW w:w="2606" w:type="dxa"/>
            <w:vAlign w:val="center"/>
          </w:tcPr>
          <w:p w14:paraId="6763413B">
            <w:pPr>
              <w:rPr>
                <w:sz w:val="18"/>
                <w:szCs w:val="18"/>
                <w:lang w:bidi="en-US"/>
              </w:rPr>
            </w:pPr>
            <w:r>
              <w:rPr>
                <w:sz w:val="18"/>
                <w:szCs w:val="18"/>
                <w:shd w:val="clear" w:color="auto" w:fill="FFFFFF"/>
              </w:rPr>
              <w:t>1.如果颗粒过滤器堵塞或是出现水汽凝结，气样流量会减小，仪器读数也会变小，导致浓度偏低。</w:t>
            </w:r>
            <w:r>
              <w:rPr>
                <w:rFonts w:eastAsiaTheme="minorEastAsia"/>
                <w:sz w:val="18"/>
                <w:szCs w:val="18"/>
                <w:lang w:bidi="en-US"/>
              </w:rPr>
              <w:t>为了保持整个仪器的清洁，</w:t>
            </w:r>
            <w:r>
              <w:rPr>
                <w:sz w:val="18"/>
                <w:szCs w:val="18"/>
                <w:shd w:val="clear" w:color="auto" w:fill="FFFFFF"/>
              </w:rPr>
              <w:t>需要在气样进入仪器前进行过滤。为避免在仪器中水汽凝结，气样在进入燃烧室前需要加热</w:t>
            </w:r>
            <w:r>
              <w:rPr>
                <w:rFonts w:hint="eastAsia"/>
                <w:sz w:val="18"/>
                <w:szCs w:val="18"/>
                <w:shd w:val="clear" w:color="auto" w:fill="FFFFFF"/>
              </w:rPr>
              <w:t>。</w:t>
            </w:r>
          </w:p>
          <w:p w14:paraId="49EF457B">
            <w:pPr>
              <w:rPr>
                <w:rFonts w:eastAsiaTheme="minorEastAsia"/>
                <w:sz w:val="18"/>
                <w:szCs w:val="18"/>
                <w:lang w:bidi="en-US"/>
              </w:rPr>
            </w:pPr>
            <w:r>
              <w:rPr>
                <w:rFonts w:eastAsiaTheme="minorEastAsia"/>
                <w:sz w:val="18"/>
                <w:szCs w:val="18"/>
                <w:lang w:bidi="en-US"/>
              </w:rPr>
              <w:t>2.燃烧室本身的污染也可能导致读数过低，由于燃烧室内的高温，如果气样中含有硅化合物会导致电极绝缘性的增加，这将减小燃烧气体中通过的电流，进而导致浓度偏低。</w:t>
            </w:r>
          </w:p>
          <w:p w14:paraId="7FBC1314">
            <w:pPr>
              <w:rPr>
                <w:rFonts w:eastAsiaTheme="minorEastAsia"/>
                <w:sz w:val="18"/>
                <w:szCs w:val="18"/>
                <w:lang w:bidi="en-US"/>
              </w:rPr>
            </w:pPr>
            <w:r>
              <w:rPr>
                <w:rFonts w:eastAsiaTheme="minorEastAsia"/>
                <w:sz w:val="18"/>
                <w:szCs w:val="18"/>
                <w:lang w:bidi="en-US"/>
              </w:rPr>
              <w:t>3.仪器周围的环境空气也可能含有烃类气体对测试结果造成干扰。</w:t>
            </w:r>
          </w:p>
          <w:p w14:paraId="77BBADCE">
            <w:pPr>
              <w:rPr>
                <w:rFonts w:eastAsiaTheme="minorEastAsia"/>
                <w:sz w:val="18"/>
                <w:szCs w:val="18"/>
                <w:lang w:bidi="en-US"/>
              </w:rPr>
            </w:pPr>
            <w:r>
              <w:rPr>
                <w:rFonts w:eastAsiaTheme="minorEastAsia"/>
                <w:sz w:val="18"/>
                <w:szCs w:val="18"/>
                <w:lang w:bidi="en-US"/>
              </w:rPr>
              <w:t>4.SO</w:t>
            </w:r>
            <w:r>
              <w:rPr>
                <w:rFonts w:eastAsiaTheme="minorEastAsia"/>
                <w:sz w:val="18"/>
                <w:szCs w:val="18"/>
                <w:vertAlign w:val="subscript"/>
                <w:lang w:bidi="en-US"/>
              </w:rPr>
              <w:t>2</w:t>
            </w:r>
            <w:r>
              <w:rPr>
                <w:rFonts w:eastAsiaTheme="minorEastAsia"/>
                <w:sz w:val="18"/>
                <w:szCs w:val="18"/>
                <w:lang w:bidi="en-US"/>
              </w:rPr>
              <w:t>、NO、NO</w:t>
            </w:r>
            <w:r>
              <w:rPr>
                <w:rFonts w:eastAsiaTheme="minorEastAsia"/>
                <w:sz w:val="18"/>
                <w:szCs w:val="18"/>
                <w:vertAlign w:val="subscript"/>
                <w:lang w:bidi="en-US"/>
              </w:rPr>
              <w:t>2</w:t>
            </w:r>
            <w:r>
              <w:rPr>
                <w:rFonts w:eastAsiaTheme="minorEastAsia"/>
                <w:sz w:val="18"/>
                <w:szCs w:val="18"/>
                <w:lang w:bidi="en-US"/>
              </w:rPr>
              <w:t>、O</w:t>
            </w:r>
            <w:r>
              <w:rPr>
                <w:rFonts w:eastAsiaTheme="minorEastAsia"/>
                <w:sz w:val="18"/>
                <w:szCs w:val="18"/>
                <w:vertAlign w:val="subscript"/>
                <w:lang w:bidi="en-US"/>
              </w:rPr>
              <w:t>2</w:t>
            </w:r>
            <w:r>
              <w:rPr>
                <w:rFonts w:eastAsiaTheme="minorEastAsia"/>
                <w:sz w:val="18"/>
                <w:szCs w:val="18"/>
                <w:lang w:bidi="en-US"/>
              </w:rPr>
              <w:t>造成的干扰。</w:t>
            </w:r>
          </w:p>
        </w:tc>
      </w:tr>
    </w:tbl>
    <w:p w14:paraId="57EA58B5">
      <w:pPr>
        <w:pStyle w:val="19"/>
        <w:sectPr>
          <w:pgSz w:w="16838" w:h="11906" w:orient="landscape"/>
          <w:pgMar w:top="1800" w:right="1440" w:bottom="1800" w:left="1440" w:header="851" w:footer="992" w:gutter="0"/>
          <w:pgNumType w:fmt="decimal"/>
          <w:cols w:space="720" w:num="1"/>
          <w:docGrid w:type="lines" w:linePitch="312" w:charSpace="0"/>
        </w:sectPr>
      </w:pPr>
    </w:p>
    <w:bookmarkEnd w:id="27"/>
    <w:p w14:paraId="6A71B53A">
      <w:pPr>
        <w:pStyle w:val="2"/>
        <w:keepLines/>
        <w:pageBreakBefore w:val="0"/>
        <w:kinsoku/>
        <w:wordWrap/>
        <w:overflowPunct/>
        <w:topLinePunct w:val="0"/>
        <w:autoSpaceDE/>
        <w:autoSpaceDN/>
        <w:bidi w:val="0"/>
        <w:adjustRightInd/>
        <w:snapToGrid/>
        <w:textAlignment w:val="auto"/>
        <w:rPr>
          <w:rFonts w:eastAsia="黑体"/>
          <w:sz w:val="28"/>
          <w:szCs w:val="28"/>
        </w:rPr>
      </w:pPr>
      <w:bookmarkStart w:id="40" w:name="_Toc28832"/>
      <w:bookmarkStart w:id="41" w:name="_Toc164795158"/>
      <w:bookmarkStart w:id="42" w:name="_Toc8698"/>
      <w:r>
        <w:rPr>
          <w:rFonts w:eastAsia="黑体"/>
          <w:sz w:val="28"/>
          <w:szCs w:val="28"/>
        </w:rPr>
        <w:t>4</w:t>
      </w:r>
      <w:r>
        <w:rPr>
          <w:rFonts w:hint="eastAsia" w:eastAsia="黑体"/>
          <w:sz w:val="28"/>
          <w:szCs w:val="28"/>
        </w:rPr>
        <w:t xml:space="preserve"> </w:t>
      </w:r>
      <w:r>
        <w:rPr>
          <w:rFonts w:eastAsia="黑体"/>
          <w:sz w:val="28"/>
          <w:szCs w:val="28"/>
        </w:rPr>
        <w:t>主要内容说明</w:t>
      </w:r>
      <w:bookmarkEnd w:id="40"/>
      <w:bookmarkEnd w:id="41"/>
      <w:bookmarkEnd w:id="42"/>
    </w:p>
    <w:p w14:paraId="28FB1566">
      <w:pPr>
        <w:keepLines/>
        <w:pageBreakBefore w:val="0"/>
        <w:kinsoku/>
        <w:wordWrap/>
        <w:overflowPunct/>
        <w:topLinePunct w:val="0"/>
        <w:autoSpaceDE/>
        <w:autoSpaceDN/>
        <w:bidi w:val="0"/>
        <w:adjustRightInd/>
        <w:snapToGrid/>
        <w:spacing w:line="360" w:lineRule="auto"/>
        <w:ind w:firstLine="560"/>
        <w:textAlignment w:val="auto"/>
        <w:rPr>
          <w:kern w:val="0"/>
          <w:sz w:val="24"/>
          <w:szCs w:val="24"/>
        </w:rPr>
      </w:pPr>
      <w:r>
        <w:rPr>
          <w:rFonts w:hint="eastAsia"/>
          <w:kern w:val="0"/>
          <w:sz w:val="24"/>
          <w:szCs w:val="24"/>
          <w:lang w:eastAsia="zh-CN"/>
        </w:rPr>
        <w:t>本指南</w:t>
      </w:r>
      <w:r>
        <w:rPr>
          <w:rFonts w:hint="eastAsia"/>
          <w:kern w:val="0"/>
          <w:sz w:val="24"/>
          <w:szCs w:val="24"/>
        </w:rPr>
        <w:t>包括适用范围、规范性引用文件、术语和定义、监测位置、监测过程、监测数据处理、质量保证与质量控制和注意事项，共计8个部分。</w:t>
      </w:r>
    </w:p>
    <w:p w14:paraId="6D69CE7D">
      <w:pPr>
        <w:keepLines/>
        <w:pageBreakBefore w:val="0"/>
        <w:widowControl/>
        <w:kinsoku/>
        <w:wordWrap/>
        <w:overflowPunct/>
        <w:topLinePunct w:val="0"/>
        <w:autoSpaceDE/>
        <w:autoSpaceDN/>
        <w:bidi w:val="0"/>
        <w:adjustRightInd/>
        <w:snapToGrid/>
        <w:spacing w:line="360" w:lineRule="auto"/>
        <w:ind w:firstLine="480" w:firstLineChars="200"/>
        <w:jc w:val="left"/>
        <w:textAlignment w:val="auto"/>
        <w:rPr>
          <w:kern w:val="0"/>
          <w:sz w:val="24"/>
          <w:szCs w:val="24"/>
        </w:rPr>
      </w:pPr>
      <w:r>
        <w:rPr>
          <w:rFonts w:hint="eastAsia"/>
          <w:kern w:val="0"/>
          <w:sz w:val="24"/>
          <w:szCs w:val="24"/>
        </w:rPr>
        <w:t>适用范围章节内容阐述了本文件的适用范围，具体内容为“本文件适用于开展固定污染源废气总烃、甲烷和非甲烷总烃排放监测，污染防治设施治理效果监测，非甲烷总烃连续监测系统的技术指标验收及正确度核查，污染防治技术研究性监测、突发环境污染事故应急监测等”。</w:t>
      </w:r>
    </w:p>
    <w:p w14:paraId="0F3B6F9F">
      <w:pPr>
        <w:keepLines/>
        <w:pageBreakBefore w:val="0"/>
        <w:widowControl/>
        <w:kinsoku/>
        <w:wordWrap/>
        <w:overflowPunct/>
        <w:topLinePunct w:val="0"/>
        <w:autoSpaceDE/>
        <w:autoSpaceDN/>
        <w:bidi w:val="0"/>
        <w:adjustRightInd/>
        <w:snapToGrid/>
        <w:spacing w:line="360" w:lineRule="auto"/>
        <w:ind w:firstLine="480" w:firstLineChars="200"/>
        <w:jc w:val="left"/>
        <w:textAlignment w:val="auto"/>
        <w:rPr>
          <w:kern w:val="0"/>
          <w:sz w:val="24"/>
          <w:szCs w:val="24"/>
        </w:rPr>
      </w:pPr>
      <w:r>
        <w:rPr>
          <w:rFonts w:hint="eastAsia"/>
          <w:kern w:val="0"/>
          <w:sz w:val="24"/>
          <w:szCs w:val="24"/>
        </w:rPr>
        <w:t>规范性引用文件章节列举了本技术规范文件引用的文件共</w:t>
      </w:r>
      <w:r>
        <w:rPr>
          <w:rFonts w:hint="eastAsia"/>
          <w:kern w:val="0"/>
          <w:sz w:val="24"/>
          <w:szCs w:val="24"/>
          <w:lang w:val="en-US" w:eastAsia="zh-CN"/>
        </w:rPr>
        <w:t>9</w:t>
      </w:r>
      <w:r>
        <w:rPr>
          <w:rFonts w:hint="eastAsia"/>
          <w:kern w:val="0"/>
          <w:sz w:val="24"/>
          <w:szCs w:val="24"/>
        </w:rPr>
        <w:t>个，均为不注日期的引用文件，其最新版本（包括所有的修改单）适用于本文件。</w:t>
      </w:r>
    </w:p>
    <w:p w14:paraId="380F97E8">
      <w:pPr>
        <w:keepLines/>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kern w:val="0"/>
          <w:sz w:val="24"/>
          <w:szCs w:val="24"/>
          <w:lang w:eastAsia="zh-CN"/>
        </w:rPr>
      </w:pPr>
      <w:r>
        <w:rPr>
          <w:rFonts w:hint="eastAsia"/>
          <w:kern w:val="0"/>
          <w:sz w:val="24"/>
          <w:szCs w:val="24"/>
        </w:rPr>
        <w:t>术语和定义章节主要对总烃，非甲烷总烃，校准量程，仪器检出限，系统偏差，转化效率进行了说明</w:t>
      </w:r>
      <w:r>
        <w:rPr>
          <w:rFonts w:hint="eastAsia"/>
          <w:kern w:val="0"/>
          <w:sz w:val="24"/>
          <w:szCs w:val="24"/>
          <w:lang w:eastAsia="zh-CN"/>
        </w:rPr>
        <w:t>。</w:t>
      </w:r>
    </w:p>
    <w:p w14:paraId="6B112C49">
      <w:pPr>
        <w:keepLines/>
        <w:pageBreakBefore w:val="0"/>
        <w:widowControl/>
        <w:kinsoku/>
        <w:wordWrap/>
        <w:overflowPunct/>
        <w:topLinePunct w:val="0"/>
        <w:autoSpaceDE/>
        <w:autoSpaceDN/>
        <w:bidi w:val="0"/>
        <w:adjustRightInd/>
        <w:snapToGrid/>
        <w:spacing w:line="360" w:lineRule="auto"/>
        <w:ind w:firstLine="480" w:firstLineChars="200"/>
        <w:jc w:val="left"/>
        <w:textAlignment w:val="auto"/>
        <w:rPr>
          <w:kern w:val="0"/>
          <w:sz w:val="24"/>
          <w:szCs w:val="24"/>
        </w:rPr>
      </w:pPr>
      <w:r>
        <w:rPr>
          <w:rFonts w:hint="eastAsia"/>
          <w:kern w:val="0"/>
          <w:sz w:val="24"/>
          <w:szCs w:val="24"/>
        </w:rPr>
        <w:t>监测位置要求概述了有组织废气排气筒采样平台、采样位置和采样点设置应符合GB/T 16157和HJ/T 397等技术规范的要求。对污染源排放监测、污染治理设施处理效果监测、非甲烷总烃连续监测系统比对监测和应急监测的监测点位进行了细化说明。</w:t>
      </w:r>
    </w:p>
    <w:p w14:paraId="480E49C4">
      <w:pPr>
        <w:keepLines/>
        <w:pageBreakBefore w:val="0"/>
        <w:widowControl/>
        <w:kinsoku/>
        <w:wordWrap/>
        <w:overflowPunct/>
        <w:topLinePunct w:val="0"/>
        <w:autoSpaceDE/>
        <w:autoSpaceDN/>
        <w:bidi w:val="0"/>
        <w:adjustRightInd/>
        <w:snapToGrid/>
        <w:spacing w:line="360" w:lineRule="auto"/>
        <w:ind w:firstLine="480" w:firstLineChars="200"/>
        <w:jc w:val="left"/>
        <w:textAlignment w:val="auto"/>
        <w:rPr>
          <w:kern w:val="0"/>
          <w:sz w:val="24"/>
          <w:szCs w:val="24"/>
        </w:rPr>
      </w:pPr>
      <w:r>
        <w:rPr>
          <w:rFonts w:hint="eastAsia"/>
          <w:kern w:val="0"/>
          <w:sz w:val="24"/>
          <w:szCs w:val="24"/>
        </w:rPr>
        <w:t>监测过程包括监测频次的确定、仪器连接与预热、仪器气路检查、仪器校准、样品测定。</w:t>
      </w:r>
    </w:p>
    <w:p w14:paraId="61238CB0">
      <w:pPr>
        <w:keepLines/>
        <w:pageBreakBefore w:val="0"/>
        <w:widowControl/>
        <w:kinsoku/>
        <w:wordWrap/>
        <w:overflowPunct/>
        <w:topLinePunct w:val="0"/>
        <w:autoSpaceDE/>
        <w:autoSpaceDN/>
        <w:bidi w:val="0"/>
        <w:adjustRightInd/>
        <w:snapToGrid/>
        <w:spacing w:line="360" w:lineRule="auto"/>
        <w:ind w:firstLine="480" w:firstLineChars="200"/>
        <w:jc w:val="left"/>
        <w:textAlignment w:val="auto"/>
        <w:rPr>
          <w:kern w:val="0"/>
          <w:sz w:val="24"/>
          <w:szCs w:val="24"/>
        </w:rPr>
      </w:pPr>
      <w:r>
        <w:rPr>
          <w:rFonts w:hint="eastAsia"/>
          <w:kern w:val="0"/>
          <w:sz w:val="24"/>
          <w:szCs w:val="24"/>
        </w:rPr>
        <w:t>监测数据处理主要包括有效分钟值的判断和处理、监测数据折算。</w:t>
      </w:r>
    </w:p>
    <w:p w14:paraId="305FABFD">
      <w:pPr>
        <w:keepLines/>
        <w:pageBreakBefore w:val="0"/>
        <w:widowControl/>
        <w:kinsoku/>
        <w:wordWrap/>
        <w:overflowPunct/>
        <w:topLinePunct w:val="0"/>
        <w:autoSpaceDE/>
        <w:autoSpaceDN/>
        <w:bidi w:val="0"/>
        <w:adjustRightInd/>
        <w:snapToGrid/>
        <w:spacing w:line="360" w:lineRule="auto"/>
        <w:ind w:firstLine="480" w:firstLineChars="200"/>
        <w:jc w:val="left"/>
        <w:textAlignment w:val="auto"/>
        <w:rPr>
          <w:kern w:val="0"/>
          <w:sz w:val="24"/>
          <w:szCs w:val="24"/>
        </w:rPr>
      </w:pPr>
      <w:r>
        <w:rPr>
          <w:rFonts w:hint="eastAsia"/>
          <w:kern w:val="0"/>
          <w:sz w:val="24"/>
          <w:szCs w:val="24"/>
        </w:rPr>
        <w:t>质量保证与质量控制章节，对零点漂移、量程漂移、示值误差、系统偏差、催化氧化效率、设备伴热、测量前后气密性检测和设备抗负压等内容进行了规定，比较完整的对固定污染源非甲烷总烃的便携式现场检测技术质量控制与保证进行规定，以保证监测数据的准确性与代表性。</w:t>
      </w:r>
    </w:p>
    <w:p w14:paraId="75FBD8C1">
      <w:pPr>
        <w:keepLines/>
        <w:pageBreakBefore w:val="0"/>
        <w:widowControl/>
        <w:kinsoku/>
        <w:wordWrap/>
        <w:overflowPunct/>
        <w:topLinePunct w:val="0"/>
        <w:autoSpaceDE/>
        <w:autoSpaceDN/>
        <w:bidi w:val="0"/>
        <w:adjustRightInd/>
        <w:snapToGrid/>
        <w:spacing w:line="360" w:lineRule="auto"/>
        <w:ind w:firstLine="480" w:firstLineChars="200"/>
        <w:jc w:val="left"/>
        <w:textAlignment w:val="auto"/>
        <w:rPr>
          <w:sz w:val="28"/>
          <w:szCs w:val="28"/>
        </w:rPr>
      </w:pPr>
      <w:r>
        <w:rPr>
          <w:rFonts w:hint="eastAsia"/>
          <w:kern w:val="0"/>
          <w:sz w:val="24"/>
          <w:szCs w:val="24"/>
        </w:rPr>
        <w:t>注意事项强调了现场检测时人员安全防护，防爆场所安全要求。</w:t>
      </w:r>
    </w:p>
    <w:p w14:paraId="1FF8058A">
      <w:pPr>
        <w:pStyle w:val="2"/>
        <w:rPr>
          <w:rFonts w:eastAsia="黑体"/>
          <w:sz w:val="28"/>
          <w:szCs w:val="28"/>
        </w:rPr>
      </w:pPr>
      <w:bookmarkStart w:id="43" w:name="_Toc164795159"/>
      <w:bookmarkStart w:id="44" w:name="_Toc12039"/>
      <w:bookmarkStart w:id="45" w:name="_Toc387333563"/>
      <w:bookmarkStart w:id="46" w:name="_Toc5963"/>
      <w:r>
        <w:rPr>
          <w:rFonts w:eastAsia="黑体"/>
          <w:sz w:val="28"/>
          <w:szCs w:val="28"/>
        </w:rPr>
        <w:t>5</w:t>
      </w:r>
      <w:r>
        <w:rPr>
          <w:rFonts w:hint="eastAsia" w:eastAsia="黑体"/>
          <w:sz w:val="28"/>
          <w:szCs w:val="28"/>
        </w:rPr>
        <w:t xml:space="preserve"> </w:t>
      </w:r>
      <w:r>
        <w:rPr>
          <w:rFonts w:eastAsia="黑体"/>
          <w:sz w:val="28"/>
          <w:szCs w:val="28"/>
        </w:rPr>
        <w:t>重大意见分歧的处理依据和结果</w:t>
      </w:r>
      <w:bookmarkEnd w:id="43"/>
      <w:bookmarkEnd w:id="44"/>
      <w:bookmarkEnd w:id="45"/>
      <w:bookmarkEnd w:id="46"/>
    </w:p>
    <w:p w14:paraId="3A49AE2A">
      <w:r>
        <w:rPr>
          <w:rFonts w:hint="eastAsia"/>
          <w:sz w:val="28"/>
          <w:szCs w:val="28"/>
        </w:rPr>
        <w:t xml:space="preserve">  无</w:t>
      </w:r>
    </w:p>
    <w:p w14:paraId="3C09A5C2">
      <w:pPr>
        <w:pStyle w:val="2"/>
        <w:rPr>
          <w:rFonts w:eastAsia="黑体"/>
          <w:sz w:val="28"/>
          <w:szCs w:val="28"/>
        </w:rPr>
      </w:pPr>
      <w:bookmarkStart w:id="47" w:name="_Toc20276"/>
      <w:bookmarkStart w:id="48" w:name="_Toc164795160"/>
      <w:bookmarkStart w:id="49" w:name="_Toc387333564"/>
      <w:bookmarkStart w:id="50" w:name="_Toc31138"/>
      <w:r>
        <w:rPr>
          <w:rFonts w:hint="eastAsia" w:eastAsia="黑体"/>
          <w:sz w:val="28"/>
          <w:szCs w:val="28"/>
        </w:rPr>
        <w:t xml:space="preserve">6 </w:t>
      </w:r>
      <w:r>
        <w:rPr>
          <w:rFonts w:eastAsia="黑体"/>
          <w:sz w:val="28"/>
          <w:szCs w:val="28"/>
        </w:rPr>
        <w:t>国际或国外标准的引用</w:t>
      </w:r>
      <w:bookmarkEnd w:id="47"/>
      <w:bookmarkEnd w:id="48"/>
      <w:bookmarkEnd w:id="49"/>
      <w:bookmarkEnd w:id="50"/>
    </w:p>
    <w:p w14:paraId="2FF011FE">
      <w:pPr>
        <w:spacing w:line="360" w:lineRule="auto"/>
        <w:ind w:firstLine="480" w:firstLineChars="200"/>
        <w:rPr>
          <w:rFonts w:hint="eastAsia" w:ascii="宋体"/>
          <w:color w:val="000000" w:themeColor="text1"/>
          <w:sz w:val="24"/>
          <w:szCs w:val="24"/>
          <w:lang w:val="en-US" w:eastAsia="zh-CN"/>
          <w14:textFill>
            <w14:solidFill>
              <w14:schemeClr w14:val="tx1"/>
            </w14:solidFill>
          </w14:textFill>
        </w:rPr>
      </w:pPr>
      <w:r>
        <w:rPr>
          <w:rFonts w:hint="eastAsia" w:ascii="宋体"/>
          <w:color w:val="000000" w:themeColor="text1"/>
          <w:sz w:val="24"/>
          <w:szCs w:val="24"/>
          <w:lang w:val="en-US" w:eastAsia="zh-CN"/>
          <w14:textFill>
            <w14:solidFill>
              <w14:schemeClr w14:val="tx1"/>
            </w14:solidFill>
          </w14:textFill>
        </w:rPr>
        <w:t>在第3章术语与定义中的3.1节和3.2节部分，引用了《固定污染源废气 总烃、甲烷和非甲烷总烃的测定 便携式催化氧化-氢火焰离子化检测器法》（HJ 1331）和《固定污染源废气 总烃、甲烷和非甲烷总烃的测定 便携式气相色谱-氢火焰离子化检测器法》（HJ 1332）两项标准。</w:t>
      </w:r>
    </w:p>
    <w:p w14:paraId="6794D401">
      <w:pPr>
        <w:spacing w:line="360" w:lineRule="auto"/>
        <w:ind w:firstLine="480" w:firstLineChars="200"/>
        <w:rPr>
          <w:rFonts w:hint="eastAsia" w:ascii="宋体"/>
          <w:color w:val="000000" w:themeColor="text1"/>
          <w:sz w:val="24"/>
          <w:szCs w:val="24"/>
          <w:lang w:val="en-US" w:eastAsia="zh-CN"/>
          <w14:textFill>
            <w14:solidFill>
              <w14:schemeClr w14:val="tx1"/>
            </w14:solidFill>
          </w14:textFill>
        </w:rPr>
      </w:pPr>
      <w:r>
        <w:rPr>
          <w:rFonts w:hint="eastAsia" w:ascii="宋体"/>
          <w:color w:val="000000" w:themeColor="text1"/>
          <w:sz w:val="24"/>
          <w:szCs w:val="24"/>
          <w:lang w:val="en-US" w:eastAsia="zh-CN"/>
          <w14:textFill>
            <w14:solidFill>
              <w14:schemeClr w14:val="tx1"/>
            </w14:solidFill>
          </w14:textFill>
        </w:rPr>
        <w:t>在第5章监测位置中的5.1节基本要求部分，引用了</w:t>
      </w:r>
      <w:r>
        <w:rPr>
          <w:color w:val="000000" w:themeColor="text1"/>
          <w:sz w:val="24"/>
          <w:szCs w:val="24"/>
          <w14:textFill>
            <w14:solidFill>
              <w14:schemeClr w14:val="tx1"/>
            </w14:solidFill>
          </w14:textFill>
        </w:rPr>
        <w:t>《固定污染源排气中颗粒物测定与气态污染物采样方法》（GB/T16157）</w:t>
      </w:r>
      <w:r>
        <w:rPr>
          <w:rFonts w:hint="eastAsia" w:ascii="宋体"/>
          <w:color w:val="000000" w:themeColor="text1"/>
          <w:sz w:val="24"/>
          <w:szCs w:val="24"/>
          <w:lang w:val="en-US" w:eastAsia="zh-CN"/>
          <w14:textFill>
            <w14:solidFill>
              <w14:schemeClr w14:val="tx1"/>
            </w14:solidFill>
          </w14:textFill>
        </w:rPr>
        <w:t>和《</w:t>
      </w:r>
      <w:r>
        <w:rPr>
          <w:color w:val="000000" w:themeColor="text1"/>
          <w:sz w:val="24"/>
          <w:szCs w:val="24"/>
          <w14:textFill>
            <w14:solidFill>
              <w14:schemeClr w14:val="tx1"/>
            </w14:solidFill>
          </w14:textFill>
        </w:rPr>
        <w:t>《固定源废气监测技术规范》（HJ/T 397）</w:t>
      </w:r>
      <w:r>
        <w:rPr>
          <w:rFonts w:hint="eastAsia" w:ascii="宋体"/>
          <w:color w:val="000000" w:themeColor="text1"/>
          <w:sz w:val="24"/>
          <w:szCs w:val="24"/>
          <w:lang w:val="en-US" w:eastAsia="zh-CN"/>
          <w14:textFill>
            <w14:solidFill>
              <w14:schemeClr w14:val="tx1"/>
            </w14:solidFill>
          </w14:textFill>
        </w:rPr>
        <w:t>两项标准。</w:t>
      </w:r>
    </w:p>
    <w:p w14:paraId="48F6D52B">
      <w:pPr>
        <w:spacing w:line="360" w:lineRule="auto"/>
        <w:ind w:firstLine="480" w:firstLineChars="200"/>
        <w:rPr>
          <w:rFonts w:hint="eastAsia" w:ascii="宋体"/>
          <w:color w:val="000000" w:themeColor="text1"/>
          <w:sz w:val="24"/>
          <w:szCs w:val="24"/>
          <w:lang w:val="en-US" w:eastAsia="zh-CN"/>
          <w14:textFill>
            <w14:solidFill>
              <w14:schemeClr w14:val="tx1"/>
            </w14:solidFill>
          </w14:textFill>
        </w:rPr>
      </w:pPr>
      <w:r>
        <w:rPr>
          <w:rFonts w:hint="eastAsia" w:ascii="宋体"/>
          <w:color w:val="000000" w:themeColor="text1"/>
          <w:sz w:val="24"/>
          <w:szCs w:val="24"/>
          <w:lang w:val="en-US" w:eastAsia="zh-CN"/>
          <w14:textFill>
            <w14:solidFill>
              <w14:schemeClr w14:val="tx1"/>
            </w14:solidFill>
          </w14:textFill>
        </w:rPr>
        <w:t>在第5章监测位置中的5.4节非甲烷总烃连续监测系统比对监测部分，引用了</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固定污染源烟气（SO</w:t>
      </w:r>
      <w:r>
        <w:rPr>
          <w:rFonts w:hint="eastAsia"/>
          <w:color w:val="000000" w:themeColor="text1"/>
          <w:sz w:val="24"/>
          <w:szCs w:val="24"/>
          <w:vertAlign w:val="subscript"/>
          <w14:textFill>
            <w14:solidFill>
              <w14:schemeClr w14:val="tx1"/>
            </w14:solidFill>
          </w14:textFill>
        </w:rPr>
        <w:t>2</w:t>
      </w:r>
      <w:r>
        <w:rPr>
          <w:rFonts w:hint="eastAsia"/>
          <w:color w:val="000000" w:themeColor="text1"/>
          <w:sz w:val="24"/>
          <w:szCs w:val="24"/>
          <w14:textFill>
            <w14:solidFill>
              <w14:schemeClr w14:val="tx1"/>
            </w14:solidFill>
          </w14:textFill>
        </w:rPr>
        <w:t>、NO</w:t>
      </w:r>
      <w:r>
        <w:rPr>
          <w:rFonts w:hint="eastAsia"/>
          <w:color w:val="000000" w:themeColor="text1"/>
          <w:sz w:val="24"/>
          <w:szCs w:val="24"/>
          <w:vertAlign w:val="subscript"/>
          <w14:textFill>
            <w14:solidFill>
              <w14:schemeClr w14:val="tx1"/>
            </w14:solidFill>
          </w14:textFill>
        </w:rPr>
        <w:t>X</w:t>
      </w:r>
      <w:r>
        <w:rPr>
          <w:rFonts w:hint="eastAsia"/>
          <w:color w:val="000000" w:themeColor="text1"/>
          <w:sz w:val="24"/>
          <w:szCs w:val="24"/>
          <w14:textFill>
            <w14:solidFill>
              <w14:schemeClr w14:val="tx1"/>
            </w14:solidFill>
          </w14:textFill>
        </w:rPr>
        <w:t>、颗粒物）排放连续监测技术规范</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HJ 75</w:t>
      </w:r>
      <w:r>
        <w:rPr>
          <w:rFonts w:hint="eastAsia"/>
          <w:color w:val="000000" w:themeColor="text1"/>
          <w:sz w:val="24"/>
          <w:szCs w:val="24"/>
          <w:lang w:eastAsia="zh-CN"/>
          <w14:textFill>
            <w14:solidFill>
              <w14:schemeClr w14:val="tx1"/>
            </w14:solidFill>
          </w14:textFill>
        </w:rPr>
        <w:t>）</w:t>
      </w:r>
      <w:r>
        <w:rPr>
          <w:rFonts w:hint="eastAsia" w:ascii="宋体"/>
          <w:color w:val="000000" w:themeColor="text1"/>
          <w:sz w:val="24"/>
          <w:szCs w:val="24"/>
          <w:lang w:val="en-US" w:eastAsia="zh-CN"/>
          <w14:textFill>
            <w14:solidFill>
              <w14:schemeClr w14:val="tx1"/>
            </w14:solidFill>
          </w14:textFill>
        </w:rPr>
        <w:t>一项标准。</w:t>
      </w:r>
    </w:p>
    <w:p w14:paraId="2AC9C25D">
      <w:pPr>
        <w:spacing w:line="360" w:lineRule="auto"/>
        <w:ind w:firstLine="480" w:firstLineChars="200"/>
        <w:rPr>
          <w:rFonts w:hint="eastAsia" w:ascii="宋体"/>
          <w:color w:val="000000" w:themeColor="text1"/>
          <w:sz w:val="24"/>
          <w:szCs w:val="24"/>
          <w:lang w:val="en-US" w:eastAsia="zh-CN"/>
          <w14:textFill>
            <w14:solidFill>
              <w14:schemeClr w14:val="tx1"/>
            </w14:solidFill>
          </w14:textFill>
        </w:rPr>
      </w:pPr>
      <w:r>
        <w:rPr>
          <w:rFonts w:hint="eastAsia" w:ascii="宋体"/>
          <w:color w:val="000000" w:themeColor="text1"/>
          <w:sz w:val="24"/>
          <w:szCs w:val="24"/>
          <w:lang w:val="en-US" w:eastAsia="zh-CN"/>
          <w14:textFill>
            <w14:solidFill>
              <w14:schemeClr w14:val="tx1"/>
            </w14:solidFill>
          </w14:textFill>
        </w:rPr>
        <w:t>在第5章监测位置中的5.5节应急监测部分，引用了</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突发环境事件应急监测技术规范</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 xml:space="preserve">HJ </w:t>
      </w:r>
      <w:r>
        <w:rPr>
          <w:rFonts w:hint="eastAsia"/>
          <w:color w:val="000000" w:themeColor="text1"/>
          <w:sz w:val="24"/>
          <w:szCs w:val="24"/>
          <w:lang w:val="en-US" w:eastAsia="zh-CN"/>
          <w14:textFill>
            <w14:solidFill>
              <w14:schemeClr w14:val="tx1"/>
            </w14:solidFill>
          </w14:textFill>
        </w:rPr>
        <w:t>589</w:t>
      </w:r>
      <w:r>
        <w:rPr>
          <w:rFonts w:hint="eastAsia"/>
          <w:color w:val="000000" w:themeColor="text1"/>
          <w:sz w:val="24"/>
          <w:szCs w:val="24"/>
          <w:lang w:eastAsia="zh-CN"/>
          <w14:textFill>
            <w14:solidFill>
              <w14:schemeClr w14:val="tx1"/>
            </w14:solidFill>
          </w14:textFill>
        </w:rPr>
        <w:t>）</w:t>
      </w:r>
      <w:r>
        <w:rPr>
          <w:rFonts w:hint="eastAsia" w:ascii="宋体"/>
          <w:color w:val="000000" w:themeColor="text1"/>
          <w:sz w:val="24"/>
          <w:szCs w:val="24"/>
          <w:lang w:val="en-US" w:eastAsia="zh-CN"/>
          <w14:textFill>
            <w14:solidFill>
              <w14:schemeClr w14:val="tx1"/>
            </w14:solidFill>
          </w14:textFill>
        </w:rPr>
        <w:t>一项标准。</w:t>
      </w:r>
    </w:p>
    <w:p w14:paraId="24A981B5">
      <w:pPr>
        <w:spacing w:line="360" w:lineRule="auto"/>
        <w:ind w:firstLine="480" w:firstLineChars="200"/>
        <w:rPr>
          <w:rFonts w:hint="eastAsia" w:ascii="宋体"/>
          <w:color w:val="000000" w:themeColor="text1"/>
          <w:sz w:val="24"/>
          <w:szCs w:val="24"/>
          <w:lang w:val="en-US" w:eastAsia="zh-CN"/>
          <w14:textFill>
            <w14:solidFill>
              <w14:schemeClr w14:val="tx1"/>
            </w14:solidFill>
          </w14:textFill>
        </w:rPr>
      </w:pPr>
      <w:r>
        <w:rPr>
          <w:rFonts w:hint="eastAsia" w:ascii="宋体"/>
          <w:color w:val="000000" w:themeColor="text1"/>
          <w:sz w:val="24"/>
          <w:szCs w:val="24"/>
          <w:lang w:val="en-US" w:eastAsia="zh-CN"/>
          <w14:textFill>
            <w14:solidFill>
              <w14:schemeClr w14:val="tx1"/>
            </w14:solidFill>
          </w14:textFill>
        </w:rPr>
        <w:t>在第6章监测过程中的6.5节样品测定部分，引用了</w:t>
      </w:r>
      <w:r>
        <w:rPr>
          <w:rFonts w:hint="eastAsia"/>
          <w:color w:val="000000" w:themeColor="text1"/>
          <w:sz w:val="24"/>
          <w:szCs w:val="24"/>
          <w14:textFill>
            <w14:solidFill>
              <w14:schemeClr w14:val="tx1"/>
            </w14:solidFill>
          </w14:textFill>
        </w:rPr>
        <w:t>《湿度测量方法》（</w:t>
      </w:r>
      <w:r>
        <w:rPr>
          <w:color w:val="000000" w:themeColor="text1"/>
          <w:sz w:val="24"/>
          <w:szCs w:val="24"/>
          <w14:textFill>
            <w14:solidFill>
              <w14:schemeClr w14:val="tx1"/>
            </w14:solidFill>
          </w14:textFill>
        </w:rPr>
        <w:t>GB</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T</w:t>
      </w:r>
      <w:r>
        <w:rPr>
          <w:rFonts w:hint="eastAsia"/>
          <w:color w:val="000000" w:themeColor="text1"/>
          <w:sz w:val="24"/>
          <w:szCs w:val="24"/>
          <w:lang w:val="en-US" w:eastAsia="zh-CN"/>
          <w14:textFill>
            <w14:solidFill>
              <w14:schemeClr w14:val="tx1"/>
            </w14:solidFill>
          </w14:textFill>
        </w:rPr>
        <w:t xml:space="preserve"> </w:t>
      </w:r>
      <w:r>
        <w:rPr>
          <w:color w:val="000000" w:themeColor="text1"/>
          <w:sz w:val="24"/>
          <w:szCs w:val="24"/>
          <w14:textFill>
            <w14:solidFill>
              <w14:schemeClr w14:val="tx1"/>
            </w14:solidFill>
          </w14:textFill>
        </w:rPr>
        <w:t>11605</w:t>
      </w:r>
      <w:r>
        <w:rPr>
          <w:rFonts w:hint="eastAsia"/>
          <w:color w:val="000000" w:themeColor="text1"/>
          <w:sz w:val="24"/>
          <w:szCs w:val="24"/>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一</w:t>
      </w:r>
      <w:r>
        <w:rPr>
          <w:rFonts w:hint="eastAsia" w:ascii="宋体"/>
          <w:color w:val="000000" w:themeColor="text1"/>
          <w:sz w:val="24"/>
          <w:szCs w:val="24"/>
          <w:lang w:val="en-US" w:eastAsia="zh-CN"/>
          <w14:textFill>
            <w14:solidFill>
              <w14:schemeClr w14:val="tx1"/>
            </w14:solidFill>
          </w14:textFill>
        </w:rPr>
        <w:t>项标准。</w:t>
      </w:r>
    </w:p>
    <w:p w14:paraId="6DD5C546">
      <w:pPr>
        <w:spacing w:line="360" w:lineRule="auto"/>
        <w:ind w:firstLine="480" w:firstLineChars="200"/>
        <w:rPr>
          <w:rFonts w:hint="eastAsia" w:ascii="宋体"/>
          <w:color w:val="000000" w:themeColor="text1"/>
          <w:sz w:val="24"/>
          <w:szCs w:val="24"/>
          <w:lang w:val="en-US" w:eastAsia="zh-CN"/>
          <w14:textFill>
            <w14:solidFill>
              <w14:schemeClr w14:val="tx1"/>
            </w14:solidFill>
          </w14:textFill>
        </w:rPr>
      </w:pPr>
      <w:r>
        <w:rPr>
          <w:rFonts w:hint="eastAsia" w:ascii="宋体"/>
          <w:color w:val="000000" w:themeColor="text1"/>
          <w:sz w:val="24"/>
          <w:szCs w:val="24"/>
          <w:lang w:val="en-US" w:eastAsia="zh-CN"/>
          <w14:textFill>
            <w14:solidFill>
              <w14:schemeClr w14:val="tx1"/>
            </w14:solidFill>
          </w14:textFill>
        </w:rPr>
        <w:t>在第7章监测数据处理中的7.1节有效分钟值的判断和处理部分，引用了</w:t>
      </w:r>
      <w:r>
        <w:rPr>
          <w:rFonts w:hint="eastAsia"/>
          <w:color w:val="000000" w:themeColor="text1"/>
          <w:sz w:val="24"/>
          <w:szCs w:val="24"/>
          <w14:textFill>
            <w14:solidFill>
              <w14:schemeClr w14:val="tx1"/>
            </w14:solidFill>
          </w14:textFill>
        </w:rPr>
        <w:t>《数据的统计处理和解释 正态样本离群值的判断和处理》（</w:t>
      </w:r>
      <w:r>
        <w:rPr>
          <w:color w:val="000000" w:themeColor="text1"/>
          <w:sz w:val="24"/>
          <w:szCs w:val="24"/>
          <w14:textFill>
            <w14:solidFill>
              <w14:schemeClr w14:val="tx1"/>
            </w14:solidFill>
          </w14:textFill>
        </w:rPr>
        <w:t>GB</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T</w:t>
      </w:r>
      <w:r>
        <w:rPr>
          <w:rFonts w:hint="eastAsia"/>
          <w:color w:val="000000" w:themeColor="text1"/>
          <w:sz w:val="24"/>
          <w:szCs w:val="24"/>
          <w:lang w:val="en-US" w:eastAsia="zh-CN"/>
          <w14:textFill>
            <w14:solidFill>
              <w14:schemeClr w14:val="tx1"/>
            </w14:solidFill>
          </w14:textFill>
        </w:rPr>
        <w:t xml:space="preserve"> 4883</w:t>
      </w:r>
      <w:r>
        <w:rPr>
          <w:rFonts w:hint="eastAsia"/>
          <w:color w:val="000000" w:themeColor="text1"/>
          <w:sz w:val="24"/>
          <w:szCs w:val="24"/>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一</w:t>
      </w:r>
      <w:r>
        <w:rPr>
          <w:rFonts w:hint="eastAsia" w:ascii="宋体"/>
          <w:color w:val="000000" w:themeColor="text1"/>
          <w:sz w:val="24"/>
          <w:szCs w:val="24"/>
          <w:lang w:val="en-US" w:eastAsia="zh-CN"/>
          <w14:textFill>
            <w14:solidFill>
              <w14:schemeClr w14:val="tx1"/>
            </w14:solidFill>
          </w14:textFill>
        </w:rPr>
        <w:t>项标准。</w:t>
      </w:r>
    </w:p>
    <w:p w14:paraId="24C7C428">
      <w:pPr>
        <w:spacing w:line="360" w:lineRule="auto"/>
        <w:ind w:firstLine="480" w:firstLineChars="200"/>
        <w:rPr>
          <w:rFonts w:hint="eastAsia" w:ascii="宋体"/>
          <w:color w:val="000000" w:themeColor="text1"/>
          <w:sz w:val="24"/>
          <w:szCs w:val="24"/>
          <w14:textFill>
            <w14:solidFill>
              <w14:schemeClr w14:val="tx1"/>
            </w14:solidFill>
          </w14:textFill>
        </w:rPr>
      </w:pPr>
      <w:r>
        <w:rPr>
          <w:rFonts w:hint="eastAsia" w:ascii="宋体"/>
          <w:color w:val="000000" w:themeColor="text1"/>
          <w:sz w:val="24"/>
          <w:szCs w:val="24"/>
          <w:lang w:val="en-US" w:eastAsia="zh-CN"/>
          <w14:textFill>
            <w14:solidFill>
              <w14:schemeClr w14:val="tx1"/>
            </w14:solidFill>
          </w14:textFill>
        </w:rPr>
        <w:t>在第8章质量保证与质量控制中的8.1节部分，引用了</w:t>
      </w:r>
      <w:r>
        <w:rPr>
          <w:rFonts w:hint="eastAsia"/>
          <w:color w:val="000000" w:themeColor="text1"/>
          <w:sz w:val="24"/>
          <w:szCs w:val="24"/>
          <w14:textFill>
            <w14:solidFill>
              <w14:schemeClr w14:val="tx1"/>
            </w14:solidFill>
          </w14:textFill>
        </w:rPr>
        <w:t>《环境空气和废气 总烃、甲烷和非甲烷总烃便携式监测仪技术要求及检测方法》（HJ</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1012）</w:t>
      </w:r>
      <w:r>
        <w:rPr>
          <w:rFonts w:hint="eastAsia"/>
          <w:color w:val="000000" w:themeColor="text1"/>
          <w:sz w:val="24"/>
          <w:szCs w:val="24"/>
          <w:lang w:val="en-US" w:eastAsia="zh-CN"/>
          <w14:textFill>
            <w14:solidFill>
              <w14:schemeClr w14:val="tx1"/>
            </w14:solidFill>
          </w14:textFill>
        </w:rPr>
        <w:t>一</w:t>
      </w:r>
      <w:r>
        <w:rPr>
          <w:rFonts w:hint="eastAsia" w:ascii="宋体"/>
          <w:color w:val="000000" w:themeColor="text1"/>
          <w:sz w:val="24"/>
          <w:szCs w:val="24"/>
          <w:lang w:val="en-US" w:eastAsia="zh-CN"/>
          <w14:textFill>
            <w14:solidFill>
              <w14:schemeClr w14:val="tx1"/>
            </w14:solidFill>
          </w14:textFill>
        </w:rPr>
        <w:t>项标准。</w:t>
      </w:r>
    </w:p>
    <w:p w14:paraId="6066A398">
      <w:pPr>
        <w:pStyle w:val="2"/>
        <w:rPr>
          <w:rFonts w:eastAsia="黑体"/>
          <w:sz w:val="28"/>
          <w:szCs w:val="28"/>
        </w:rPr>
      </w:pPr>
      <w:bookmarkStart w:id="51" w:name="_Toc18883"/>
      <w:bookmarkStart w:id="52" w:name="_Toc12443"/>
      <w:bookmarkStart w:id="53" w:name="_Toc387333565"/>
      <w:bookmarkStart w:id="54" w:name="_Toc164795161"/>
      <w:r>
        <w:rPr>
          <w:rFonts w:eastAsia="黑体"/>
          <w:sz w:val="28"/>
          <w:szCs w:val="28"/>
        </w:rPr>
        <w:t>7 作为强制性标准的建议及理由</w:t>
      </w:r>
      <w:bookmarkEnd w:id="51"/>
      <w:bookmarkEnd w:id="52"/>
      <w:bookmarkEnd w:id="53"/>
      <w:bookmarkEnd w:id="54"/>
    </w:p>
    <w:p w14:paraId="34BD8CDA">
      <w:pPr>
        <w:spacing w:line="360" w:lineRule="auto"/>
        <w:ind w:firstLine="480" w:firstLineChars="200"/>
        <w:rPr>
          <w:sz w:val="24"/>
          <w:szCs w:val="24"/>
        </w:rPr>
      </w:pPr>
      <w:r>
        <w:rPr>
          <w:rFonts w:hint="eastAsia"/>
          <w:sz w:val="24"/>
          <w:szCs w:val="24"/>
          <w:lang w:eastAsia="zh-CN"/>
        </w:rPr>
        <w:t>本指南</w:t>
      </w:r>
      <w:r>
        <w:rPr>
          <w:sz w:val="24"/>
          <w:szCs w:val="24"/>
        </w:rPr>
        <w:t>为推荐性标准。</w:t>
      </w:r>
    </w:p>
    <w:p w14:paraId="4F49F5CC">
      <w:pPr>
        <w:spacing w:line="360" w:lineRule="auto"/>
        <w:ind w:firstLine="480" w:firstLineChars="200"/>
        <w:rPr>
          <w:rFonts w:hint="eastAsia"/>
          <w:sz w:val="24"/>
          <w:szCs w:val="24"/>
        </w:rPr>
      </w:pPr>
      <w:r>
        <w:rPr>
          <w:rFonts w:hint="eastAsia"/>
          <w:sz w:val="24"/>
          <w:szCs w:val="24"/>
        </w:rPr>
        <w:t>请注意本文件的某些内容可能涉及专利。本文件的发布机构不承担识别专利的责任。</w:t>
      </w:r>
    </w:p>
    <w:p w14:paraId="7E197C33">
      <w:pPr>
        <w:pStyle w:val="2"/>
        <w:rPr>
          <w:rFonts w:eastAsia="黑体"/>
          <w:sz w:val="28"/>
          <w:szCs w:val="28"/>
        </w:rPr>
      </w:pPr>
      <w:bookmarkStart w:id="55" w:name="_Toc164795162"/>
      <w:bookmarkStart w:id="56" w:name="_Toc387333566"/>
      <w:bookmarkStart w:id="57" w:name="_Toc26062"/>
      <w:bookmarkStart w:id="58" w:name="_Toc17760"/>
      <w:r>
        <w:rPr>
          <w:rFonts w:hint="eastAsia" w:eastAsia="黑体"/>
          <w:sz w:val="28"/>
          <w:szCs w:val="28"/>
        </w:rPr>
        <w:t xml:space="preserve">8 </w:t>
      </w:r>
      <w:r>
        <w:rPr>
          <w:rFonts w:eastAsia="黑体"/>
          <w:sz w:val="28"/>
          <w:szCs w:val="28"/>
        </w:rPr>
        <w:t>贯彻标准的措施建议</w:t>
      </w:r>
      <w:bookmarkEnd w:id="55"/>
      <w:bookmarkEnd w:id="56"/>
      <w:bookmarkEnd w:id="57"/>
      <w:bookmarkEnd w:id="58"/>
    </w:p>
    <w:p w14:paraId="12729A6E">
      <w:pPr>
        <w:autoSpaceDE w:val="0"/>
        <w:autoSpaceDN w:val="0"/>
        <w:adjustRightInd w:val="0"/>
        <w:spacing w:line="360" w:lineRule="auto"/>
        <w:ind w:firstLine="480" w:firstLineChars="200"/>
        <w:jc w:val="left"/>
        <w:rPr>
          <w:sz w:val="28"/>
          <w:szCs w:val="28"/>
        </w:rPr>
      </w:pPr>
      <w:bookmarkStart w:id="59" w:name="_Toc387333567"/>
      <w:r>
        <w:rPr>
          <w:rFonts w:hint="eastAsia" w:ascii="宋体" w:hAnsi="宋体" w:cs="宋体"/>
          <w:sz w:val="24"/>
          <w:szCs w:val="24"/>
        </w:rPr>
        <w:t>无</w:t>
      </w:r>
    </w:p>
    <w:p w14:paraId="5DC60303">
      <w:pPr>
        <w:pStyle w:val="2"/>
        <w:rPr>
          <w:rFonts w:eastAsia="黑体"/>
          <w:sz w:val="28"/>
          <w:szCs w:val="28"/>
        </w:rPr>
      </w:pPr>
      <w:bookmarkStart w:id="60" w:name="_Toc23100"/>
      <w:bookmarkStart w:id="61" w:name="_Toc164795163"/>
      <w:bookmarkStart w:id="62" w:name="_Toc286"/>
      <w:r>
        <w:rPr>
          <w:rFonts w:hint="eastAsia" w:eastAsia="黑体"/>
          <w:sz w:val="28"/>
          <w:szCs w:val="28"/>
        </w:rPr>
        <w:t xml:space="preserve">9 </w:t>
      </w:r>
      <w:r>
        <w:rPr>
          <w:rFonts w:eastAsia="黑体"/>
          <w:sz w:val="28"/>
          <w:szCs w:val="28"/>
        </w:rPr>
        <w:t>相关标准及参考文献</w:t>
      </w:r>
      <w:bookmarkEnd w:id="59"/>
      <w:bookmarkEnd w:id="60"/>
      <w:bookmarkEnd w:id="61"/>
      <w:bookmarkEnd w:id="62"/>
    </w:p>
    <w:p w14:paraId="19D482E2">
      <w:pPr>
        <w:keepNext w:val="0"/>
        <w:keepLines w:val="0"/>
        <w:pageBreakBefore w:val="0"/>
        <w:widowControl w:val="0"/>
        <w:kinsoku/>
        <w:wordWrap/>
        <w:overflowPunct/>
        <w:topLinePunct w:val="0"/>
        <w:autoSpaceDE/>
        <w:autoSpaceDN/>
        <w:bidi w:val="0"/>
        <w:adjustRightInd/>
        <w:snapToGrid/>
        <w:spacing w:before="157" w:beforeLines="50" w:line="400" w:lineRule="exact"/>
        <w:ind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下列文件对于本文件的应用是必不可少的。凡是不注日期的引用文件，其最新版本（包括所有的修改单）适用于本文件。</w:t>
      </w:r>
    </w:p>
    <w:p w14:paraId="5D33EC65">
      <w:pPr>
        <w:spacing w:line="400" w:lineRule="exact"/>
        <w:ind w:left="315" w:hanging="315" w:hangingChars="150"/>
        <w:rPr>
          <w:szCs w:val="21"/>
        </w:rPr>
      </w:pPr>
    </w:p>
    <w:p w14:paraId="65605A0D">
      <w:pPr>
        <w:spacing w:line="400" w:lineRule="exact"/>
        <w:ind w:left="315" w:leftChars="150" w:firstLine="105" w:firstLineChars="50"/>
        <w:rPr>
          <w:szCs w:val="21"/>
        </w:rPr>
      </w:pPr>
      <w:r>
        <w:rPr>
          <w:szCs w:val="21"/>
        </w:rPr>
        <w:t>GB/T</w:t>
      </w:r>
      <w:r>
        <w:rPr>
          <w:rFonts w:hint="eastAsia"/>
          <w:szCs w:val="21"/>
          <w:lang w:val="en-US" w:eastAsia="zh-CN"/>
        </w:rPr>
        <w:t xml:space="preserve"> </w:t>
      </w:r>
      <w:r>
        <w:rPr>
          <w:szCs w:val="21"/>
        </w:rPr>
        <w:t>16157</w:t>
      </w:r>
      <w:r>
        <w:rPr>
          <w:rFonts w:hint="eastAsia"/>
          <w:szCs w:val="21"/>
          <w:lang w:val="en-US" w:eastAsia="zh-CN"/>
        </w:rPr>
        <w:t xml:space="preserve">   </w:t>
      </w:r>
      <w:r>
        <w:rPr>
          <w:szCs w:val="21"/>
        </w:rPr>
        <w:t>固定污染源排气中颗粒物</w:t>
      </w:r>
      <w:r>
        <w:rPr>
          <w:rFonts w:hint="eastAsia"/>
          <w:szCs w:val="21"/>
        </w:rPr>
        <w:t>测定</w:t>
      </w:r>
      <w:r>
        <w:rPr>
          <w:szCs w:val="21"/>
        </w:rPr>
        <w:t>和气态污染物采样方法</w:t>
      </w:r>
    </w:p>
    <w:p w14:paraId="6B990BDD">
      <w:pPr>
        <w:spacing w:line="400" w:lineRule="exact"/>
        <w:ind w:left="315" w:leftChars="150" w:firstLine="105" w:firstLineChars="50"/>
        <w:rPr>
          <w:szCs w:val="21"/>
        </w:rPr>
      </w:pPr>
      <w:r>
        <w:rPr>
          <w:szCs w:val="21"/>
        </w:rPr>
        <w:t>HJ/T 397</w:t>
      </w:r>
      <w:r>
        <w:rPr>
          <w:rFonts w:hint="eastAsia"/>
          <w:szCs w:val="21"/>
          <w:lang w:val="en-US" w:eastAsia="zh-CN"/>
        </w:rPr>
        <w:t xml:space="preserve">   </w:t>
      </w:r>
      <w:r>
        <w:rPr>
          <w:szCs w:val="21"/>
        </w:rPr>
        <w:t xml:space="preserve"> </w:t>
      </w:r>
      <w:r>
        <w:rPr>
          <w:rFonts w:hint="eastAsia"/>
          <w:szCs w:val="21"/>
          <w:lang w:val="en-US" w:eastAsia="zh-CN"/>
        </w:rPr>
        <w:t xml:space="preserve">  </w:t>
      </w:r>
      <w:r>
        <w:rPr>
          <w:szCs w:val="21"/>
        </w:rPr>
        <w:t>固定源废气监测技术规范</w:t>
      </w:r>
    </w:p>
    <w:p w14:paraId="0980FE33">
      <w:pPr>
        <w:spacing w:line="400" w:lineRule="exact"/>
        <w:ind w:left="315" w:leftChars="150" w:firstLine="105" w:firstLineChars="50"/>
        <w:rPr>
          <w:szCs w:val="21"/>
        </w:rPr>
      </w:pPr>
      <w:bookmarkStart w:id="63" w:name="OLE_LINK17"/>
      <w:bookmarkStart w:id="64" w:name="OLE_LINK16"/>
      <w:r>
        <w:rPr>
          <w:szCs w:val="21"/>
        </w:rPr>
        <w:t>HJ732</w:t>
      </w:r>
      <w:bookmarkEnd w:id="63"/>
      <w:bookmarkEnd w:id="64"/>
      <w:r>
        <w:rPr>
          <w:rFonts w:hint="eastAsia"/>
          <w:szCs w:val="21"/>
          <w:lang w:val="en-US" w:eastAsia="zh-CN"/>
        </w:rPr>
        <w:t xml:space="preserve">     </w:t>
      </w:r>
      <w:r>
        <w:rPr>
          <w:sz w:val="24"/>
          <w:szCs w:val="24"/>
        </w:rPr>
        <w:t xml:space="preserve"> </w:t>
      </w:r>
      <w:r>
        <w:rPr>
          <w:rFonts w:hint="eastAsia"/>
          <w:sz w:val="24"/>
          <w:szCs w:val="24"/>
          <w:lang w:val="en-US" w:eastAsia="zh-CN"/>
        </w:rPr>
        <w:t xml:space="preserve">  </w:t>
      </w:r>
      <w:r>
        <w:rPr>
          <w:szCs w:val="21"/>
        </w:rPr>
        <w:t>固定污染源排气中挥发性有机物的采样气袋法</w:t>
      </w:r>
    </w:p>
    <w:p w14:paraId="0D046ADF">
      <w:pPr>
        <w:spacing w:line="400" w:lineRule="exact"/>
        <w:ind w:left="315" w:leftChars="150" w:firstLine="105" w:firstLineChars="50"/>
        <w:rPr>
          <w:szCs w:val="21"/>
        </w:rPr>
      </w:pPr>
      <w:r>
        <w:rPr>
          <w:rFonts w:hint="eastAsia"/>
          <w:szCs w:val="21"/>
        </w:rPr>
        <w:t>GB37823</w:t>
      </w:r>
      <w:r>
        <w:rPr>
          <w:rFonts w:hint="eastAsia"/>
          <w:szCs w:val="21"/>
          <w:lang w:val="en-US" w:eastAsia="zh-CN"/>
        </w:rPr>
        <w:t xml:space="preserve">      </w:t>
      </w:r>
      <w:r>
        <w:rPr>
          <w:rFonts w:hint="eastAsia"/>
          <w:szCs w:val="21"/>
        </w:rPr>
        <w:t>制药工业大气污染物排放标准</w:t>
      </w:r>
    </w:p>
    <w:p w14:paraId="6995F3DA">
      <w:pPr>
        <w:spacing w:line="400" w:lineRule="exact"/>
        <w:ind w:left="315" w:leftChars="150" w:firstLine="105" w:firstLineChars="50"/>
        <w:rPr>
          <w:szCs w:val="21"/>
        </w:rPr>
      </w:pPr>
      <w:r>
        <w:rPr>
          <w:rFonts w:hint="eastAsia"/>
          <w:szCs w:val="21"/>
        </w:rPr>
        <w:t>GB 31571</w:t>
      </w:r>
      <w:r>
        <w:rPr>
          <w:rFonts w:hint="eastAsia"/>
          <w:szCs w:val="21"/>
          <w:lang w:val="en-US" w:eastAsia="zh-CN"/>
        </w:rPr>
        <w:t xml:space="preserve">     </w:t>
      </w:r>
      <w:r>
        <w:rPr>
          <w:rFonts w:hint="eastAsia"/>
          <w:szCs w:val="21"/>
        </w:rPr>
        <w:t>石油化学工业污染物排放标准</w:t>
      </w:r>
    </w:p>
    <w:p w14:paraId="120E3B10">
      <w:pPr>
        <w:spacing w:line="400" w:lineRule="exact"/>
        <w:ind w:left="315" w:leftChars="150" w:firstLine="105" w:firstLineChars="50"/>
      </w:pPr>
      <w:r>
        <w:rPr>
          <w:szCs w:val="21"/>
        </w:rPr>
        <w:t>GB 37822</w:t>
      </w:r>
      <w:r>
        <w:rPr>
          <w:rFonts w:hint="eastAsia"/>
          <w:szCs w:val="21"/>
          <w:lang w:val="en-US" w:eastAsia="zh-CN"/>
        </w:rPr>
        <w:t xml:space="preserve">     </w:t>
      </w:r>
      <w:r>
        <w:rPr>
          <w:szCs w:val="21"/>
        </w:rPr>
        <w:t>挥发性有机物无组织排放控制标准</w:t>
      </w:r>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0B268">
    <w:pPr>
      <w:pStyle w:val="7"/>
      <w:tabs>
        <w:tab w:val="clear" w:pos="4153"/>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D7EF59">
                          <w:pPr>
                            <w:pStyle w:val="7"/>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0D7EF59">
                    <w:pPr>
                      <w:pStyle w:val="7"/>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2967A">
    <w:pPr>
      <w:pStyle w:val="7"/>
      <w:tabs>
        <w:tab w:val="clear" w:pos="4153"/>
      </w:tabs>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DAA46D">
                          <w:pPr>
                            <w:pStyle w:val="7"/>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7DAA46D">
                    <w:pPr>
                      <w:pStyle w:val="7"/>
                    </w:pPr>
                    <w:r>
                      <w:fldChar w:fldCharType="begin"/>
                    </w:r>
                    <w:r>
                      <w:instrText xml:space="preserve"> PAGE  \* MERGEFORMAT </w:instrText>
                    </w:r>
                    <w:r>
                      <w:fldChar w:fldCharType="separate"/>
                    </w:r>
                    <w:r>
                      <w:t>I</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84C6D">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66AA03"/>
    <w:multiLevelType w:val="singleLevel"/>
    <w:tmpl w:val="DD66AA03"/>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lZGJmZjA1N2Y1YTdhMTA1NDY5YjJkMTg5YzgwN2QifQ=="/>
  </w:docVars>
  <w:rsids>
    <w:rsidRoot w:val="44B72533"/>
    <w:rsid w:val="00011E29"/>
    <w:rsid w:val="000429B7"/>
    <w:rsid w:val="00073982"/>
    <w:rsid w:val="000A4D65"/>
    <w:rsid w:val="001C0AF1"/>
    <w:rsid w:val="001D6DBF"/>
    <w:rsid w:val="00251E19"/>
    <w:rsid w:val="00265744"/>
    <w:rsid w:val="0028174D"/>
    <w:rsid w:val="002831C2"/>
    <w:rsid w:val="002F18EB"/>
    <w:rsid w:val="00302A75"/>
    <w:rsid w:val="00354068"/>
    <w:rsid w:val="003632CF"/>
    <w:rsid w:val="004241F9"/>
    <w:rsid w:val="0044380C"/>
    <w:rsid w:val="00460001"/>
    <w:rsid w:val="004810D2"/>
    <w:rsid w:val="00485A86"/>
    <w:rsid w:val="004974AD"/>
    <w:rsid w:val="004A619E"/>
    <w:rsid w:val="004F4F60"/>
    <w:rsid w:val="0053386C"/>
    <w:rsid w:val="00565DA3"/>
    <w:rsid w:val="005944C3"/>
    <w:rsid w:val="005A77A5"/>
    <w:rsid w:val="005B7A4C"/>
    <w:rsid w:val="005C00BD"/>
    <w:rsid w:val="00634FCE"/>
    <w:rsid w:val="00636A05"/>
    <w:rsid w:val="0064018F"/>
    <w:rsid w:val="00656374"/>
    <w:rsid w:val="006867D2"/>
    <w:rsid w:val="006B5131"/>
    <w:rsid w:val="006E7E2A"/>
    <w:rsid w:val="00703D91"/>
    <w:rsid w:val="00706AD1"/>
    <w:rsid w:val="00711A79"/>
    <w:rsid w:val="00734BF1"/>
    <w:rsid w:val="00746806"/>
    <w:rsid w:val="007637AC"/>
    <w:rsid w:val="00764DD6"/>
    <w:rsid w:val="007B27B0"/>
    <w:rsid w:val="00843F38"/>
    <w:rsid w:val="008F7A58"/>
    <w:rsid w:val="009207AF"/>
    <w:rsid w:val="00927DE7"/>
    <w:rsid w:val="009345D4"/>
    <w:rsid w:val="00944E29"/>
    <w:rsid w:val="00993EE3"/>
    <w:rsid w:val="009B7027"/>
    <w:rsid w:val="009E78E4"/>
    <w:rsid w:val="009F4E34"/>
    <w:rsid w:val="00A123FD"/>
    <w:rsid w:val="00A3123F"/>
    <w:rsid w:val="00A632A3"/>
    <w:rsid w:val="00A863AD"/>
    <w:rsid w:val="00AA2485"/>
    <w:rsid w:val="00AD28C1"/>
    <w:rsid w:val="00B434AE"/>
    <w:rsid w:val="00B50C0D"/>
    <w:rsid w:val="00B817B8"/>
    <w:rsid w:val="00B82EF6"/>
    <w:rsid w:val="00BB3B1F"/>
    <w:rsid w:val="00C05638"/>
    <w:rsid w:val="00C30544"/>
    <w:rsid w:val="00C54607"/>
    <w:rsid w:val="00C56B7D"/>
    <w:rsid w:val="00C95CE6"/>
    <w:rsid w:val="00E75012"/>
    <w:rsid w:val="00E80F8D"/>
    <w:rsid w:val="00E906EB"/>
    <w:rsid w:val="00E93649"/>
    <w:rsid w:val="00ED4A96"/>
    <w:rsid w:val="00F32840"/>
    <w:rsid w:val="00F56DB9"/>
    <w:rsid w:val="00F843D2"/>
    <w:rsid w:val="00F924B3"/>
    <w:rsid w:val="00FA089A"/>
    <w:rsid w:val="00FC15C7"/>
    <w:rsid w:val="00FD27FB"/>
    <w:rsid w:val="03C360BE"/>
    <w:rsid w:val="04095A03"/>
    <w:rsid w:val="04AD0346"/>
    <w:rsid w:val="05437FBC"/>
    <w:rsid w:val="056716FD"/>
    <w:rsid w:val="05866550"/>
    <w:rsid w:val="06080602"/>
    <w:rsid w:val="06732EDD"/>
    <w:rsid w:val="0C255493"/>
    <w:rsid w:val="0EB620F9"/>
    <w:rsid w:val="0F1467D4"/>
    <w:rsid w:val="10F60887"/>
    <w:rsid w:val="12661DAF"/>
    <w:rsid w:val="12F64B6E"/>
    <w:rsid w:val="13600C38"/>
    <w:rsid w:val="17321EED"/>
    <w:rsid w:val="1980237E"/>
    <w:rsid w:val="1A8F577A"/>
    <w:rsid w:val="1ABF10A4"/>
    <w:rsid w:val="1C694675"/>
    <w:rsid w:val="1CB31A1A"/>
    <w:rsid w:val="1CB53750"/>
    <w:rsid w:val="1F140416"/>
    <w:rsid w:val="20592405"/>
    <w:rsid w:val="215012BF"/>
    <w:rsid w:val="21CE0D03"/>
    <w:rsid w:val="21ED31BA"/>
    <w:rsid w:val="22BC2000"/>
    <w:rsid w:val="22F24362"/>
    <w:rsid w:val="238906FB"/>
    <w:rsid w:val="23964560"/>
    <w:rsid w:val="23B72EC1"/>
    <w:rsid w:val="242874D8"/>
    <w:rsid w:val="24625707"/>
    <w:rsid w:val="25151B07"/>
    <w:rsid w:val="26EE57F7"/>
    <w:rsid w:val="271101B6"/>
    <w:rsid w:val="27C22BB9"/>
    <w:rsid w:val="2BEB137C"/>
    <w:rsid w:val="2CDA29B3"/>
    <w:rsid w:val="2D2D25FE"/>
    <w:rsid w:val="2E560877"/>
    <w:rsid w:val="2F866D75"/>
    <w:rsid w:val="30344D10"/>
    <w:rsid w:val="314E4C69"/>
    <w:rsid w:val="315C608D"/>
    <w:rsid w:val="32A01182"/>
    <w:rsid w:val="33EB0D12"/>
    <w:rsid w:val="342926F1"/>
    <w:rsid w:val="34B712A7"/>
    <w:rsid w:val="358A7D89"/>
    <w:rsid w:val="3594773D"/>
    <w:rsid w:val="364F1EA5"/>
    <w:rsid w:val="36E6107E"/>
    <w:rsid w:val="373A0C1E"/>
    <w:rsid w:val="37B02CC8"/>
    <w:rsid w:val="383C20A3"/>
    <w:rsid w:val="39C622D5"/>
    <w:rsid w:val="3A704AAD"/>
    <w:rsid w:val="3ABB2076"/>
    <w:rsid w:val="3ADF6B73"/>
    <w:rsid w:val="3C5C7534"/>
    <w:rsid w:val="410E225B"/>
    <w:rsid w:val="424C5CAA"/>
    <w:rsid w:val="42F8060C"/>
    <w:rsid w:val="44B05D71"/>
    <w:rsid w:val="44B72533"/>
    <w:rsid w:val="453F5B5A"/>
    <w:rsid w:val="469330D2"/>
    <w:rsid w:val="46E2213B"/>
    <w:rsid w:val="486B0FB2"/>
    <w:rsid w:val="494A72E7"/>
    <w:rsid w:val="49E200CD"/>
    <w:rsid w:val="4A7F2EEF"/>
    <w:rsid w:val="4AF9238C"/>
    <w:rsid w:val="4B8F7743"/>
    <w:rsid w:val="4C206581"/>
    <w:rsid w:val="4FAD1A83"/>
    <w:rsid w:val="4FD07F1A"/>
    <w:rsid w:val="53787FE8"/>
    <w:rsid w:val="570E20A2"/>
    <w:rsid w:val="582F1B71"/>
    <w:rsid w:val="5A191DB4"/>
    <w:rsid w:val="5A471632"/>
    <w:rsid w:val="5BA87A8B"/>
    <w:rsid w:val="5D2278CA"/>
    <w:rsid w:val="5E185862"/>
    <w:rsid w:val="6091230A"/>
    <w:rsid w:val="609B4D40"/>
    <w:rsid w:val="616C7377"/>
    <w:rsid w:val="626B762E"/>
    <w:rsid w:val="63331CDD"/>
    <w:rsid w:val="63682F17"/>
    <w:rsid w:val="643120BF"/>
    <w:rsid w:val="66D918D5"/>
    <w:rsid w:val="66DB1226"/>
    <w:rsid w:val="686F5F48"/>
    <w:rsid w:val="6A3C7BE2"/>
    <w:rsid w:val="6B506A81"/>
    <w:rsid w:val="6C441140"/>
    <w:rsid w:val="6D16629A"/>
    <w:rsid w:val="6D3079E1"/>
    <w:rsid w:val="705C6CD2"/>
    <w:rsid w:val="70651C7B"/>
    <w:rsid w:val="71517063"/>
    <w:rsid w:val="71F136F4"/>
    <w:rsid w:val="7242215A"/>
    <w:rsid w:val="72F10AF3"/>
    <w:rsid w:val="7372125C"/>
    <w:rsid w:val="73ED306B"/>
    <w:rsid w:val="74C560C4"/>
    <w:rsid w:val="764A2B96"/>
    <w:rsid w:val="797B2816"/>
    <w:rsid w:val="7B003E33"/>
    <w:rsid w:val="7B01373A"/>
    <w:rsid w:val="7F230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autoRedefine/>
    <w:unhideWhenUsed/>
    <w:qFormat/>
    <w:uiPriority w:val="9"/>
    <w:pPr>
      <w:keepNext/>
      <w:keepLines/>
      <w:spacing w:before="260" w:after="260" w:line="416" w:lineRule="auto"/>
      <w:outlineLvl w:val="2"/>
    </w:pPr>
    <w:rPr>
      <w:b/>
      <w:bCs/>
      <w:sz w:val="32"/>
      <w:szCs w:val="32"/>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toc 3"/>
    <w:basedOn w:val="1"/>
    <w:next w:val="1"/>
    <w:autoRedefine/>
    <w:qFormat/>
    <w:uiPriority w:val="0"/>
    <w:pPr>
      <w:ind w:left="840" w:leftChars="400"/>
    </w:pPr>
  </w:style>
  <w:style w:type="paragraph" w:styleId="7">
    <w:name w:val="footer"/>
    <w:basedOn w:val="1"/>
    <w:autoRedefine/>
    <w:unhideWhenUsed/>
    <w:qFormat/>
    <w:uiPriority w:val="99"/>
    <w:pPr>
      <w:tabs>
        <w:tab w:val="center" w:pos="4153"/>
        <w:tab w:val="right" w:pos="8306"/>
      </w:tabs>
      <w:snapToGrid w:val="0"/>
      <w:jc w:val="left"/>
    </w:pPr>
    <w:rPr>
      <w:kern w:val="0"/>
      <w:sz w:val="18"/>
      <w:szCs w:val="18"/>
    </w:rPr>
  </w:style>
  <w:style w:type="paragraph" w:styleId="8">
    <w:name w:val="header"/>
    <w:basedOn w:val="1"/>
    <w:autoRedefine/>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9">
    <w:name w:val="toc 1"/>
    <w:basedOn w:val="1"/>
    <w:next w:val="1"/>
    <w:autoRedefine/>
    <w:unhideWhenUsed/>
    <w:qFormat/>
    <w:uiPriority w:val="39"/>
    <w:pPr>
      <w:tabs>
        <w:tab w:val="right" w:leader="dot" w:pos="8296"/>
      </w:tabs>
      <w:spacing w:line="360" w:lineRule="auto"/>
    </w:pPr>
  </w:style>
  <w:style w:type="paragraph" w:styleId="10">
    <w:name w:val="toc 2"/>
    <w:basedOn w:val="1"/>
    <w:next w:val="1"/>
    <w:autoRedefine/>
    <w:qFormat/>
    <w:uiPriority w:val="0"/>
    <w:pPr>
      <w:ind w:left="420" w:leftChars="200"/>
    </w:pPr>
  </w:style>
  <w:style w:type="paragraph" w:styleId="11">
    <w:name w:val="Normal (Web)"/>
    <w:basedOn w:val="1"/>
    <w:autoRedefine/>
    <w:qFormat/>
    <w:uiPriority w:val="0"/>
    <w:pPr>
      <w:spacing w:beforeAutospacing="1" w:afterAutospacing="1"/>
      <w:jc w:val="left"/>
    </w:pPr>
    <w:rPr>
      <w:kern w:val="0"/>
      <w:sz w:val="24"/>
    </w:rPr>
  </w:style>
  <w:style w:type="table" w:styleId="13">
    <w:name w:val="Table Grid"/>
    <w:basedOn w:val="12"/>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autoRedefine/>
    <w:qFormat/>
    <w:uiPriority w:val="22"/>
    <w:rPr>
      <w:b/>
    </w:rPr>
  </w:style>
  <w:style w:type="character" w:styleId="16">
    <w:name w:val="FollowedHyperlink"/>
    <w:basedOn w:val="14"/>
    <w:autoRedefine/>
    <w:qFormat/>
    <w:uiPriority w:val="0"/>
    <w:rPr>
      <w:color w:val="000000"/>
      <w:u w:val="none"/>
    </w:rPr>
  </w:style>
  <w:style w:type="character" w:styleId="17">
    <w:name w:val="Emphasis"/>
    <w:basedOn w:val="14"/>
    <w:autoRedefine/>
    <w:qFormat/>
    <w:uiPriority w:val="0"/>
  </w:style>
  <w:style w:type="character" w:styleId="18">
    <w:name w:val="Hyperlink"/>
    <w:autoRedefine/>
    <w:unhideWhenUsed/>
    <w:qFormat/>
    <w:uiPriority w:val="99"/>
    <w:rPr>
      <w:color w:val="0000FF"/>
      <w:u w:val="single"/>
    </w:rPr>
  </w:style>
  <w:style w:type="paragraph" w:customStyle="1" w:styleId="19">
    <w:name w:val="段"/>
    <w:autoRedefine/>
    <w:qFormat/>
    <w:uiPriority w:val="0"/>
    <w:pPr>
      <w:tabs>
        <w:tab w:val="center" w:pos="4201"/>
        <w:tab w:val="right" w:leader="dot" w:pos="9298"/>
      </w:tabs>
      <w:autoSpaceDE w:val="0"/>
      <w:autoSpaceDN w:val="0"/>
      <w:spacing w:before="156" w:beforeLines="50" w:after="156" w:afterLines="50" w:line="360" w:lineRule="auto"/>
      <w:ind w:firstLine="720" w:firstLineChars="300"/>
      <w:jc w:val="both"/>
    </w:pPr>
    <w:rPr>
      <w:rFonts w:ascii="Times New Roman" w:hAnsi="Times New Roman" w:eastAsia="宋体" w:cs="Times New Roman"/>
      <w:kern w:val="2"/>
      <w:sz w:val="24"/>
      <w:szCs w:val="24"/>
      <w:lang w:val="en-US" w:eastAsia="zh-CN" w:bidi="ar-SA"/>
    </w:rPr>
  </w:style>
  <w:style w:type="paragraph" w:styleId="20">
    <w:name w:val="List Paragraph"/>
    <w:basedOn w:val="1"/>
    <w:autoRedefine/>
    <w:qFormat/>
    <w:uiPriority w:val="34"/>
    <w:pPr>
      <w:ind w:firstLine="420" w:firstLineChars="200"/>
    </w:pPr>
    <w:rPr>
      <w:szCs w:val="24"/>
    </w:rPr>
  </w:style>
  <w:style w:type="character" w:customStyle="1" w:styleId="21">
    <w:name w:val="cur1"/>
    <w:basedOn w:val="14"/>
    <w:autoRedefine/>
    <w:qFormat/>
    <w:uiPriority w:val="0"/>
    <w:rPr>
      <w:color w:val="FFFFFF"/>
      <w:shd w:val="clear" w:color="auto" w:fill="2F6B98"/>
    </w:rPr>
  </w:style>
  <w:style w:type="character" w:customStyle="1" w:styleId="22">
    <w:name w:val="lishishuju"/>
    <w:basedOn w:val="14"/>
    <w:autoRedefine/>
    <w:qFormat/>
    <w:uiPriority w:val="0"/>
    <w:rPr>
      <w:b/>
      <w:bCs/>
      <w:color w:val="000052"/>
      <w:sz w:val="24"/>
      <w:szCs w:val="24"/>
      <w:bdr w:val="single" w:color="E3E3E3" w:sz="6" w:space="0"/>
    </w:rPr>
  </w:style>
  <w:style w:type="character" w:customStyle="1" w:styleId="23">
    <w:name w:val="radio-btn"/>
    <w:basedOn w:val="14"/>
    <w:autoRedefine/>
    <w:qFormat/>
    <w:uiPriority w:val="0"/>
    <w:rPr>
      <w:sz w:val="24"/>
      <w:szCs w:val="24"/>
    </w:rPr>
  </w:style>
  <w:style w:type="character" w:customStyle="1" w:styleId="24">
    <w:name w:val="radio-btn1"/>
    <w:basedOn w:val="14"/>
    <w:autoRedefine/>
    <w:qFormat/>
    <w:uiPriority w:val="0"/>
    <w:rPr>
      <w:sz w:val="21"/>
      <w:szCs w:val="21"/>
    </w:rPr>
  </w:style>
  <w:style w:type="character" w:customStyle="1" w:styleId="25">
    <w:name w:val="radio-btn2"/>
    <w:basedOn w:val="14"/>
    <w:autoRedefine/>
    <w:qFormat/>
    <w:uiPriority w:val="0"/>
    <w:rPr>
      <w:sz w:val="24"/>
      <w:szCs w:val="24"/>
    </w:rPr>
  </w:style>
  <w:style w:type="character" w:customStyle="1" w:styleId="26">
    <w:name w:val="lable"/>
    <w:basedOn w:val="14"/>
    <w:autoRedefine/>
    <w:qFormat/>
    <w:uiPriority w:val="0"/>
    <w:rPr>
      <w:sz w:val="24"/>
      <w:szCs w:val="24"/>
    </w:rPr>
  </w:style>
  <w:style w:type="character" w:customStyle="1" w:styleId="27">
    <w:name w:val="znspantitle"/>
    <w:basedOn w:val="14"/>
    <w:autoRedefine/>
    <w:qFormat/>
    <w:uiPriority w:val="0"/>
    <w:rPr>
      <w:b/>
      <w:bCs/>
      <w:color w:val="333333"/>
    </w:rPr>
  </w:style>
  <w:style w:type="character" w:customStyle="1" w:styleId="28">
    <w:name w:val="disabled"/>
    <w:basedOn w:val="14"/>
    <w:autoRedefine/>
    <w:qFormat/>
    <w:uiPriority w:val="0"/>
    <w:rPr>
      <w:vanish/>
    </w:rPr>
  </w:style>
  <w:style w:type="paragraph" w:customStyle="1" w:styleId="29">
    <w:name w:val="WPSOffice手动目录 1"/>
    <w:autoRedefine/>
    <w:qFormat/>
    <w:uiPriority w:val="0"/>
    <w:rPr>
      <w:rFonts w:ascii="Times New Roman" w:hAnsi="Times New Roman" w:eastAsia="宋体" w:cs="Times New Roman"/>
      <w:lang w:val="en-US" w:eastAsia="zh-CN" w:bidi="ar-SA"/>
    </w:rPr>
  </w:style>
  <w:style w:type="paragraph" w:customStyle="1" w:styleId="30">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31">
    <w:name w:val="021"/>
    <w:basedOn w:val="1"/>
    <w:autoRedefine/>
    <w:qFormat/>
    <w:uiPriority w:val="0"/>
    <w:pPr>
      <w:widowControl/>
      <w:spacing w:before="100" w:beforeAutospacing="1" w:after="100" w:afterAutospacing="1"/>
      <w:jc w:val="left"/>
    </w:pPr>
    <w:rPr>
      <w:rFonts w:ascii="PMingLiU" w:hAnsi="PMingLiU" w:eastAsia="PMingLiU" w:cs="PMingLiU"/>
      <w:kern w:val="0"/>
      <w:sz w:val="24"/>
      <w:szCs w:val="24"/>
      <w:lang w:eastAsia="zh-TW"/>
    </w:rPr>
  </w:style>
  <w:style w:type="paragraph" w:customStyle="1" w:styleId="32">
    <w:name w:val="Revision"/>
    <w:autoRedefine/>
    <w:hidde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7149</Words>
  <Characters>7721</Characters>
  <Lines>82</Lines>
  <Paragraphs>23</Paragraphs>
  <TotalTime>4</TotalTime>
  <ScaleCrop>false</ScaleCrop>
  <LinksUpToDate>false</LinksUpToDate>
  <CharactersWithSpaces>7852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2022-01-13T10:53:00Z</dcterms:created>
  <dc:creator>lenovo</dc:creator>
  <cp:lastModifiedBy>张淳</cp:lastModifiedBy>
  <dcterms:modified xsi:type="dcterms:W3CDTF">2025-03-21T05:48:20Z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0D1C6AC2BAFE4491BEB3F61EBF7718B1_13</vt:lpwstr>
  </property>
  <property fmtid="{D5CDD505-2E9C-101B-9397-08002B2CF9AE}" pid="4" name="KSOTemplateDocerSaveRecord">
    <vt:lpwstr>eyJoZGlkIjoiMTYyNjMxYjZiN2IyZjIyYWQ5YjE3OGQ4YTEyYjc2N2UiLCJ1c2VySWQiOiIyMjUzNzA4MjUifQ==</vt:lpwstr>
  </property>
</Properties>
</file>